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430004101"/>
      <w:r>
        <w:rPr>
          <w:rFonts w:hint="eastAsia"/>
        </w:rPr>
        <w:t>综合素质课程人才培养方案（三年制）</w:t>
      </w:r>
      <w:bookmarkEnd w:id="0"/>
    </w:p>
    <w:p>
      <w:pPr>
        <w:rPr>
          <w:b/>
          <w:bCs/>
        </w:rPr>
      </w:pPr>
      <w:r>
        <w:rPr>
          <w:rFonts w:hint="eastAsia"/>
        </w:rPr>
        <w:t xml:space="preserve">                           </w:t>
      </w:r>
      <w:r>
        <w:rPr>
          <w:rFonts w:hint="eastAsia"/>
          <w:b/>
          <w:bCs/>
        </w:rPr>
        <w:t xml:space="preserve"> （20</w:t>
      </w:r>
      <w:r>
        <w:rPr>
          <w:rFonts w:hint="eastAsia"/>
          <w:b/>
          <w:bCs/>
          <w:lang w:val="en-US" w:eastAsia="zh-CN"/>
        </w:rPr>
        <w:t>20</w:t>
      </w:r>
      <w:r>
        <w:rPr>
          <w:rFonts w:hint="eastAsia"/>
          <w:b/>
          <w:bCs/>
        </w:rPr>
        <w:t>年版）</w:t>
      </w:r>
    </w:p>
    <w:p>
      <w:pPr>
        <w:pStyle w:val="8"/>
        <w:spacing w:before="0" w:beforeAutospacing="0" w:after="0" w:afterAutospacing="0" w:line="440" w:lineRule="exact"/>
        <w:jc w:val="center"/>
        <w:rPr>
          <w:sz w:val="32"/>
          <w:szCs w:val="32"/>
        </w:rPr>
      </w:pPr>
    </w:p>
    <w:p>
      <w:pPr>
        <w:pStyle w:val="8"/>
        <w:spacing w:before="0" w:beforeAutospacing="0" w:after="0" w:afterAutospacing="0" w:line="440" w:lineRule="exact"/>
        <w:ind w:firstLine="555"/>
        <w:rPr>
          <w:spacing w:val="-6"/>
          <w:sz w:val="28"/>
          <w:szCs w:val="28"/>
        </w:rPr>
      </w:pPr>
      <w:bookmarkStart w:id="1" w:name="_Toc419711116"/>
      <w:bookmarkStart w:id="2" w:name="_Toc419711792"/>
      <w:bookmarkStart w:id="3" w:name="_Toc423606069"/>
      <w:r>
        <w:rPr>
          <w:rFonts w:hint="eastAsia"/>
          <w:spacing w:val="-6"/>
          <w:sz w:val="28"/>
          <w:szCs w:val="28"/>
        </w:rPr>
        <w:t>一、培养目标及核心课程</w:t>
      </w:r>
      <w:bookmarkEnd w:id="1"/>
      <w:bookmarkEnd w:id="2"/>
      <w:bookmarkEnd w:id="3"/>
    </w:p>
    <w:p>
      <w:pPr>
        <w:widowControl/>
        <w:spacing w:line="440" w:lineRule="exact"/>
        <w:ind w:firstLine="480" w:firstLineChars="200"/>
        <w:jc w:val="left"/>
        <w:rPr>
          <w:rFonts w:ascii="宋体" w:hAnsi="宋体" w:cs="宋体"/>
          <w:color w:val="auto"/>
          <w:sz w:val="24"/>
          <w:szCs w:val="24"/>
          <w:highlight w:val="none"/>
        </w:rPr>
      </w:pPr>
      <w:bookmarkStart w:id="4" w:name="_Toc419711117"/>
      <w:bookmarkStart w:id="5" w:name="_Toc419711793"/>
      <w:r>
        <w:rPr>
          <w:rFonts w:hint="eastAsia" w:ascii="宋体" w:hAnsi="宋体" w:cs="宋体"/>
          <w:sz w:val="24"/>
          <w:szCs w:val="24"/>
        </w:rPr>
        <w:t>综合素质课是基础教学部面向全院学生开设的课程。该课程紧紧围绕“立德树人为根本，必备文化为基础”的原则，培养学生形成崇高的理想信念，树立正确的世界观、人生观、价值观，培养良好的思想道德和法律素质，进一步提高分辨是非、善恶、美丑和加强自我修养的能力；同时，让学生掌握必须的文化基础知识，具有健康的身心素质，不</w:t>
      </w:r>
      <w:r>
        <w:rPr>
          <w:rFonts w:hint="eastAsia" w:ascii="宋体" w:hAnsi="宋体" w:cs="宋体"/>
          <w:color w:val="auto"/>
          <w:sz w:val="24"/>
          <w:szCs w:val="24"/>
          <w:highlight w:val="none"/>
        </w:rPr>
        <w:t>断增强综合素质，拓展学术视野，最终成为高素质高技能应用型文化艺术人才。</w:t>
      </w:r>
    </w:p>
    <w:p>
      <w:pPr>
        <w:widowControl/>
        <w:spacing w:line="44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核心课程为：思想道德修养与法律基础、毛泽东思想和中国特色社会主义理论体系概论、形势与政策教育、</w:t>
      </w:r>
      <w:r>
        <w:rPr>
          <w:rFonts w:hint="eastAsia" w:ascii="宋体" w:hAnsi="宋体" w:cs="宋体"/>
          <w:color w:val="auto"/>
          <w:sz w:val="24"/>
          <w:szCs w:val="24"/>
          <w:highlight w:val="none"/>
          <w:lang w:val="en-US" w:eastAsia="zh-CN"/>
        </w:rPr>
        <w:t>国史党史、</w:t>
      </w:r>
      <w:r>
        <w:rPr>
          <w:rFonts w:hint="eastAsia" w:ascii="宋体" w:hAnsi="宋体" w:cs="宋体"/>
          <w:color w:val="auto"/>
          <w:sz w:val="24"/>
          <w:szCs w:val="24"/>
          <w:highlight w:val="none"/>
        </w:rPr>
        <w:t>大学生职业发展与就业指导、大学生心理健康教育、大学语文、大学英语、计算机应用基础、体育等。</w:t>
      </w:r>
    </w:p>
    <w:p>
      <w:pPr>
        <w:pStyle w:val="8"/>
        <w:spacing w:before="0" w:beforeAutospacing="0" w:after="0" w:afterAutospacing="0" w:line="440" w:lineRule="exact"/>
        <w:rPr>
          <w:color w:val="auto"/>
          <w:sz w:val="28"/>
          <w:szCs w:val="28"/>
          <w:highlight w:val="none"/>
        </w:rPr>
      </w:pPr>
      <w:bookmarkStart w:id="6" w:name="_Toc423606070"/>
    </w:p>
    <w:p>
      <w:pPr>
        <w:pStyle w:val="8"/>
        <w:spacing w:before="0" w:beforeAutospacing="0" w:after="0" w:afterAutospacing="0" w:line="440" w:lineRule="exact"/>
        <w:ind w:firstLine="555"/>
        <w:rPr>
          <w:color w:val="auto"/>
          <w:spacing w:val="-6"/>
          <w:sz w:val="28"/>
          <w:szCs w:val="28"/>
          <w:highlight w:val="none"/>
        </w:rPr>
      </w:pPr>
      <w:r>
        <w:rPr>
          <w:rFonts w:hint="eastAsia"/>
          <w:color w:val="auto"/>
          <w:spacing w:val="-6"/>
          <w:sz w:val="28"/>
          <w:szCs w:val="28"/>
          <w:highlight w:val="none"/>
        </w:rPr>
        <w:t>二、人才培养规格要求和知识、能力、素质结构</w:t>
      </w:r>
      <w:bookmarkEnd w:id="4"/>
      <w:bookmarkEnd w:id="5"/>
      <w:bookmarkEnd w:id="6"/>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1、政治思想基本要求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（1）基本掌握马克思主义、邓小平理论、“三个代表”重要思想、科学发展观、习近平新时代中国特色社会主义理论，坚定在党的领导下走中国特色社会主义道路的理想信念。</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（2）了解基本国情和形势与政策，增强对改革开放和实现中华民族伟大复习的自觉性和坚定性，正确认识肩负的历史使命。</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（3）具有高尚的理想情操和良好的道德品质，树立科学的世界观，具有社会主义法制观念，树立文明的行为规范。</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（4）以“德艺双馨”为核心，坚持文艺为人民服务、为社会主义服务的方向，热爱文化艺术事业，具有良好的职业道德。</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2、基本知识、能力和素质要求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（1）具有人文科学方面的基本知识，有相应文字和语言表达能力。</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（2）具有艺术基础知识，具有一定艺术修养和审美鉴赏力。</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（3）掌握英语基础知识，具有相应职业要求的听说读写的一般能力。</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（4）掌握计算机基本知识，具备基本计算机操作技能。</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（5）具有高度的职业责任感、踏实的作风、创新的精神、团结协作的职业素质和组织协调能力。</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3、身体、心理素质要求</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（1）了解体育运动的常识和基本知识，基本掌握锻炼身体的科学方法，养成良好的锻炼习惯，具有从事职业工作的健康体质。</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（2）了解心理健康的基本知识，具有良好的心理素质和健全的人格。</w:t>
      </w:r>
    </w:p>
    <w:p>
      <w:pPr>
        <w:spacing w:line="440" w:lineRule="exact"/>
        <w:ind w:firstLine="480" w:firstLineChars="200"/>
        <w:rPr>
          <w:rFonts w:ascii="宋体" w:hAnsi="宋体" w:cs="宋体"/>
          <w:color w:val="auto"/>
          <w:sz w:val="24"/>
          <w:szCs w:val="24"/>
          <w:highlight w:val="none"/>
        </w:rPr>
      </w:pPr>
    </w:p>
    <w:p>
      <w:pPr>
        <w:pStyle w:val="8"/>
        <w:spacing w:before="0" w:beforeAutospacing="0" w:after="0" w:afterAutospacing="0" w:line="440" w:lineRule="exact"/>
        <w:ind w:firstLine="555"/>
        <w:rPr>
          <w:color w:val="auto"/>
          <w:spacing w:val="-6"/>
          <w:sz w:val="28"/>
          <w:szCs w:val="28"/>
          <w:highlight w:val="none"/>
        </w:rPr>
      </w:pPr>
      <w:bookmarkStart w:id="7" w:name="_Toc423606071"/>
      <w:bookmarkStart w:id="8" w:name="_Toc419711118"/>
      <w:bookmarkStart w:id="9" w:name="_Toc419711794"/>
      <w:r>
        <w:rPr>
          <w:rFonts w:hint="eastAsia"/>
          <w:color w:val="auto"/>
          <w:sz w:val="28"/>
          <w:szCs w:val="28"/>
          <w:highlight w:val="none"/>
        </w:rPr>
        <w:t>三、</w:t>
      </w:r>
      <w:r>
        <w:rPr>
          <w:rFonts w:hint="eastAsia"/>
          <w:color w:val="auto"/>
          <w:spacing w:val="-6"/>
          <w:sz w:val="28"/>
          <w:szCs w:val="28"/>
          <w:highlight w:val="none"/>
        </w:rPr>
        <w:t>课程结构</w:t>
      </w:r>
    </w:p>
    <w:p>
      <w:pPr>
        <w:pStyle w:val="8"/>
        <w:spacing w:before="0" w:beforeAutospacing="0" w:after="0" w:afterAutospacing="0" w:line="440" w:lineRule="exact"/>
        <w:ind w:firstLine="480" w:firstLineChars="200"/>
        <w:rPr>
          <w:color w:val="auto"/>
          <w:highlight w:val="none"/>
        </w:rPr>
      </w:pPr>
      <w:r>
        <w:rPr>
          <w:rFonts w:hint="eastAsia"/>
          <w:color w:val="auto"/>
          <w:highlight w:val="none"/>
        </w:rPr>
        <w:t>综合素质课共分为综合素质必修课、综合素质限定选修课和综合素质任意选修课三大类，毕业最低要求修满32学分。</w:t>
      </w:r>
    </w:p>
    <w:bookmarkEnd w:id="7"/>
    <w:bookmarkEnd w:id="8"/>
    <w:bookmarkEnd w:id="9"/>
    <w:p>
      <w:pPr>
        <w:pStyle w:val="8"/>
        <w:spacing w:before="0" w:beforeAutospacing="0" w:after="0" w:afterAutospacing="0" w:line="440" w:lineRule="exact"/>
        <w:jc w:val="center"/>
        <w:rPr>
          <w:color w:val="auto"/>
          <w:highlight w:val="none"/>
        </w:rPr>
      </w:pPr>
      <w:bookmarkStart w:id="10" w:name="_Toc419711119"/>
      <w:bookmarkStart w:id="11" w:name="_Toc419711795"/>
      <w:bookmarkStart w:id="12" w:name="_Toc423606072"/>
      <w:r>
        <w:rPr>
          <w:rFonts w:hint="eastAsia"/>
          <w:color w:val="auto"/>
          <w:highlight w:val="none"/>
        </w:rPr>
        <w:t>课程结构比例表</w:t>
      </w:r>
      <w:bookmarkEnd w:id="10"/>
      <w:bookmarkEnd w:id="11"/>
      <w:bookmarkEnd w:id="12"/>
    </w:p>
    <w:tbl>
      <w:tblPr>
        <w:tblStyle w:val="5"/>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65"/>
        <w:gridCol w:w="1095"/>
        <w:gridCol w:w="968"/>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02"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课程性质</w:t>
            </w:r>
          </w:p>
        </w:tc>
        <w:tc>
          <w:tcPr>
            <w:tcW w:w="1095" w:type="dxa"/>
            <w:vAlign w:val="center"/>
          </w:tcPr>
          <w:p>
            <w:pPr>
              <w:jc w:val="center"/>
              <w:rPr>
                <w:rFonts w:ascii="宋体" w:hAnsi="宋体" w:cs="宋体"/>
                <w:color w:val="auto"/>
                <w:highlight w:val="none"/>
              </w:rPr>
            </w:pPr>
            <w:r>
              <w:rPr>
                <w:rFonts w:hint="eastAsia" w:ascii="宋体" w:hAnsi="宋体" w:cs="宋体"/>
                <w:color w:val="auto"/>
                <w:kern w:val="0"/>
                <w:highlight w:val="none"/>
              </w:rPr>
              <w:t>学分</w:t>
            </w:r>
          </w:p>
        </w:tc>
        <w:tc>
          <w:tcPr>
            <w:tcW w:w="968"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学时</w:t>
            </w:r>
          </w:p>
        </w:tc>
        <w:tc>
          <w:tcPr>
            <w:tcW w:w="4950"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学分要求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必修</w:t>
            </w: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必修课</w:t>
            </w:r>
          </w:p>
        </w:tc>
        <w:tc>
          <w:tcPr>
            <w:tcW w:w="1095" w:type="dxa"/>
            <w:vAlign w:val="center"/>
          </w:tcPr>
          <w:p>
            <w:pPr>
              <w:jc w:val="center"/>
              <w:rPr>
                <w:rFonts w:ascii="宋体" w:hAnsi="宋体" w:cs="宋体"/>
                <w:color w:val="auto"/>
                <w:highlight w:val="none"/>
              </w:rPr>
            </w:pPr>
            <w:r>
              <w:rPr>
                <w:rFonts w:hint="eastAsia" w:ascii="宋体" w:hAnsi="宋体" w:cs="宋体"/>
                <w:color w:val="auto"/>
                <w:highlight w:val="none"/>
              </w:rPr>
              <w:t>1</w:t>
            </w:r>
            <w:r>
              <w:rPr>
                <w:rFonts w:hint="eastAsia" w:ascii="宋体" w:hAnsi="宋体" w:cs="宋体"/>
                <w:color w:val="auto"/>
                <w:highlight w:val="none"/>
                <w:lang w:val="en-US" w:eastAsia="zh-CN"/>
              </w:rPr>
              <w:t>9.5</w:t>
            </w:r>
            <w:r>
              <w:rPr>
                <w:rFonts w:hint="eastAsia" w:ascii="宋体" w:hAnsi="宋体" w:cs="宋体"/>
                <w:color w:val="auto"/>
                <w:highlight w:val="none"/>
              </w:rPr>
              <w:t>或</w:t>
            </w:r>
            <w:r>
              <w:rPr>
                <w:rFonts w:hint="eastAsia" w:ascii="宋体" w:hAnsi="宋体" w:cs="宋体"/>
                <w:color w:val="auto"/>
                <w:highlight w:val="none"/>
                <w:lang w:val="en-US" w:eastAsia="zh-CN"/>
              </w:rPr>
              <w:t>17</w:t>
            </w:r>
          </w:p>
        </w:tc>
        <w:tc>
          <w:tcPr>
            <w:tcW w:w="968" w:type="dxa"/>
            <w:vAlign w:val="center"/>
          </w:tcPr>
          <w:p>
            <w:pPr>
              <w:jc w:val="center"/>
              <w:rPr>
                <w:rFonts w:ascii="宋体" w:hAnsi="宋体" w:cs="宋体"/>
                <w:color w:val="auto"/>
                <w:kern w:val="0"/>
                <w:highlight w:val="none"/>
              </w:rPr>
            </w:pPr>
            <w:r>
              <w:rPr>
                <w:rFonts w:hint="eastAsia" w:ascii="宋体" w:hAnsi="宋体" w:cs="宋体"/>
                <w:b/>
                <w:bCs/>
                <w:color w:val="auto"/>
                <w:kern w:val="0"/>
                <w:highlight w:val="none"/>
                <w:lang w:val="en-US" w:eastAsia="zh-CN"/>
              </w:rPr>
              <w:t>418</w:t>
            </w:r>
            <w:r>
              <w:rPr>
                <w:rFonts w:hint="eastAsia" w:ascii="宋体" w:hAnsi="宋体" w:cs="宋体"/>
                <w:color w:val="auto"/>
                <w:kern w:val="0"/>
                <w:highlight w:val="none"/>
              </w:rPr>
              <w:t>或</w:t>
            </w:r>
            <w:r>
              <w:rPr>
                <w:rFonts w:hint="eastAsia" w:ascii="宋体" w:hAnsi="宋体" w:cs="宋体"/>
                <w:b/>
                <w:bCs/>
                <w:color w:val="auto"/>
                <w:kern w:val="0"/>
                <w:highlight w:val="none"/>
                <w:lang w:val="en-US" w:eastAsia="zh-CN"/>
              </w:rPr>
              <w:t>344</w:t>
            </w:r>
          </w:p>
        </w:tc>
        <w:tc>
          <w:tcPr>
            <w:tcW w:w="4950" w:type="dxa"/>
            <w:vAlign w:val="center"/>
          </w:tcPr>
          <w:p>
            <w:pPr>
              <w:numPr>
                <w:ilvl w:val="0"/>
                <w:numId w:val="1"/>
              </w:numPr>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设体育课的专业共计</w:t>
            </w:r>
            <w:r>
              <w:rPr>
                <w:rFonts w:hint="eastAsia" w:ascii="宋体" w:hAnsi="宋体" w:cs="宋体"/>
                <w:color w:val="auto"/>
                <w:kern w:val="0"/>
                <w:sz w:val="18"/>
                <w:szCs w:val="18"/>
                <w:highlight w:val="none"/>
                <w:lang w:val="en-US" w:eastAsia="zh-CN"/>
              </w:rPr>
              <w:t>19.5</w:t>
            </w:r>
            <w:r>
              <w:rPr>
                <w:rFonts w:hint="eastAsia" w:ascii="宋体" w:hAnsi="宋体" w:cs="宋体"/>
                <w:color w:val="auto"/>
                <w:kern w:val="0"/>
                <w:sz w:val="18"/>
                <w:szCs w:val="18"/>
                <w:highlight w:val="none"/>
              </w:rPr>
              <w:t>学分；</w:t>
            </w:r>
          </w:p>
          <w:p>
            <w:pPr>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不设体育课的专业共计</w:t>
            </w:r>
            <w:r>
              <w:rPr>
                <w:rFonts w:hint="eastAsia" w:ascii="宋体" w:hAnsi="宋体" w:cs="宋体"/>
                <w:color w:val="auto"/>
                <w:kern w:val="0"/>
                <w:sz w:val="18"/>
                <w:szCs w:val="18"/>
                <w:highlight w:val="none"/>
                <w:lang w:val="en-US" w:eastAsia="zh-CN"/>
              </w:rPr>
              <w:t>17</w:t>
            </w:r>
            <w:r>
              <w:rPr>
                <w:rFonts w:hint="eastAsia" w:ascii="宋体" w:hAnsi="宋体" w:cs="宋体"/>
                <w:color w:val="auto"/>
                <w:kern w:val="0"/>
                <w:sz w:val="18"/>
                <w:szCs w:val="18"/>
                <w:highlight w:val="none"/>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restart"/>
            <w:vAlign w:val="center"/>
          </w:tcPr>
          <w:p>
            <w:pPr>
              <w:jc w:val="center"/>
              <w:rPr>
                <w:rFonts w:ascii="宋体" w:hAnsi="宋体" w:cs="宋体"/>
                <w:color w:val="auto"/>
                <w:kern w:val="0"/>
                <w:highlight w:val="none"/>
              </w:rPr>
            </w:pPr>
            <w:r>
              <w:rPr>
                <w:rFonts w:hint="eastAsia" w:ascii="宋体" w:hAnsi="宋体" w:cs="宋体"/>
                <w:color w:val="auto"/>
                <w:kern w:val="0"/>
                <w:highlight w:val="none"/>
              </w:rPr>
              <w:t>选修</w:t>
            </w: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限定选修课</w:t>
            </w:r>
          </w:p>
        </w:tc>
        <w:tc>
          <w:tcPr>
            <w:tcW w:w="1095" w:type="dxa"/>
            <w:vAlign w:val="center"/>
          </w:tcPr>
          <w:p>
            <w:pPr>
              <w:jc w:val="center"/>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或</w:t>
            </w:r>
            <w:r>
              <w:rPr>
                <w:rFonts w:hint="eastAsia" w:ascii="宋体" w:hAnsi="宋体" w:cs="宋体"/>
                <w:color w:val="auto"/>
                <w:highlight w:val="none"/>
                <w:lang w:val="en-US" w:eastAsia="zh-CN"/>
              </w:rPr>
              <w:t>4</w:t>
            </w:r>
          </w:p>
        </w:tc>
        <w:tc>
          <w:tcPr>
            <w:tcW w:w="968"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lang w:val="en-US" w:eastAsia="zh-CN"/>
              </w:rPr>
              <w:t>78</w:t>
            </w:r>
            <w:r>
              <w:rPr>
                <w:rFonts w:hint="eastAsia" w:ascii="宋体" w:hAnsi="宋体" w:cs="宋体"/>
                <w:color w:val="auto"/>
                <w:kern w:val="0"/>
                <w:highlight w:val="none"/>
              </w:rPr>
              <w:t>或</w:t>
            </w:r>
            <w:r>
              <w:rPr>
                <w:rFonts w:hint="eastAsia" w:ascii="宋体" w:hAnsi="宋体" w:cs="宋体"/>
                <w:color w:val="auto"/>
                <w:kern w:val="0"/>
                <w:highlight w:val="none"/>
                <w:lang w:val="en-US" w:eastAsia="zh-CN"/>
              </w:rPr>
              <w:t>52</w:t>
            </w:r>
          </w:p>
        </w:tc>
        <w:tc>
          <w:tcPr>
            <w:tcW w:w="4950" w:type="dxa"/>
            <w:vAlign w:val="center"/>
          </w:tcPr>
          <w:p>
            <w:pPr>
              <w:widowControl/>
              <w:numPr>
                <w:ilvl w:val="0"/>
                <w:numId w:val="0"/>
              </w:numPr>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最低须修6学分（其中文史类、外语类、综合类各2学分）；</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不设计算机应用基础课的专业须修满4学分（其中文史类和外语类各2学分）。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37" w:type="dxa"/>
            <w:vMerge w:val="continue"/>
            <w:vAlign w:val="center"/>
          </w:tcPr>
          <w:p>
            <w:pPr>
              <w:jc w:val="center"/>
              <w:rPr>
                <w:rFonts w:ascii="宋体" w:hAnsi="宋体" w:cs="宋体"/>
                <w:color w:val="auto"/>
                <w:kern w:val="0"/>
                <w:highlight w:val="none"/>
              </w:rPr>
            </w:pPr>
          </w:p>
        </w:tc>
        <w:tc>
          <w:tcPr>
            <w:tcW w:w="1365" w:type="dxa"/>
            <w:vAlign w:val="center"/>
          </w:tcPr>
          <w:p>
            <w:pPr>
              <w:jc w:val="center"/>
              <w:rPr>
                <w:rFonts w:ascii="宋体" w:hAnsi="宋体" w:cs="宋体"/>
                <w:color w:val="auto"/>
                <w:highlight w:val="none"/>
              </w:rPr>
            </w:pPr>
            <w:r>
              <w:rPr>
                <w:rFonts w:hint="eastAsia" w:ascii="宋体" w:hAnsi="宋体" w:cs="宋体"/>
                <w:color w:val="auto"/>
                <w:highlight w:val="none"/>
              </w:rPr>
              <w:t>综合素质</w:t>
            </w:r>
          </w:p>
          <w:p>
            <w:pPr>
              <w:jc w:val="center"/>
              <w:rPr>
                <w:rFonts w:ascii="宋体" w:hAnsi="宋体" w:cs="宋体"/>
                <w:color w:val="auto"/>
                <w:highlight w:val="none"/>
              </w:rPr>
            </w:pPr>
            <w:r>
              <w:rPr>
                <w:rFonts w:hint="eastAsia" w:ascii="宋体" w:hAnsi="宋体" w:cs="宋体"/>
                <w:color w:val="auto"/>
                <w:highlight w:val="none"/>
              </w:rPr>
              <w:t>任意选修课</w:t>
            </w:r>
          </w:p>
        </w:tc>
        <w:tc>
          <w:tcPr>
            <w:tcW w:w="1095"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8或10</w:t>
            </w:r>
          </w:p>
        </w:tc>
        <w:tc>
          <w:tcPr>
            <w:tcW w:w="968" w:type="dxa"/>
            <w:vAlign w:val="center"/>
          </w:tcPr>
          <w:p>
            <w:pPr>
              <w:jc w:val="center"/>
              <w:rPr>
                <w:rFonts w:ascii="宋体" w:hAnsi="宋体" w:cs="宋体"/>
                <w:color w:val="auto"/>
                <w:kern w:val="0"/>
                <w:highlight w:val="none"/>
              </w:rPr>
            </w:pPr>
            <w:r>
              <w:rPr>
                <w:rFonts w:hint="eastAsia" w:ascii="宋体" w:hAnsi="宋体" w:cs="宋体"/>
                <w:color w:val="auto"/>
                <w:kern w:val="0"/>
                <w:highlight w:val="none"/>
              </w:rPr>
              <w:t>128或160</w:t>
            </w:r>
          </w:p>
        </w:tc>
        <w:tc>
          <w:tcPr>
            <w:tcW w:w="4950" w:type="dxa"/>
            <w:vAlign w:val="center"/>
          </w:tcPr>
          <w:p>
            <w:pPr>
              <w:widowControl/>
              <w:numPr>
                <w:ilvl w:val="0"/>
                <w:numId w:val="0"/>
              </w:numPr>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r>
              <w:rPr>
                <w:rFonts w:hint="eastAsia" w:ascii="宋体" w:hAnsi="宋体" w:cs="宋体"/>
                <w:color w:val="auto"/>
                <w:kern w:val="0"/>
                <w:sz w:val="18"/>
                <w:szCs w:val="18"/>
                <w:highlight w:val="none"/>
              </w:rPr>
              <w:t>最低须修8学分（其中文史类、外语类最低2学分）；</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2.</w:t>
            </w:r>
            <w:r>
              <w:rPr>
                <w:rFonts w:hint="eastAsia" w:ascii="宋体" w:hAnsi="宋体" w:cs="宋体"/>
                <w:color w:val="auto"/>
                <w:kern w:val="0"/>
                <w:sz w:val="18"/>
                <w:szCs w:val="18"/>
                <w:highlight w:val="none"/>
              </w:rPr>
              <w:t>不设体育和计算机应用基础的专业最低须修10学分（其中文史类、外语类最低2学分）；</w:t>
            </w:r>
          </w:p>
          <w:p>
            <w:pPr>
              <w:widowControl/>
              <w:numPr>
                <w:ilvl w:val="0"/>
                <w:numId w:val="0"/>
              </w:numPr>
              <w:jc w:val="left"/>
              <w:rPr>
                <w:rFonts w:ascii="宋体" w:hAnsi="宋体" w:cs="宋体"/>
                <w:color w:val="auto"/>
                <w:kern w:val="0"/>
                <w:szCs w:val="21"/>
                <w:highlight w:val="none"/>
              </w:rPr>
            </w:pPr>
            <w:r>
              <w:rPr>
                <w:rFonts w:hint="eastAsia" w:ascii="宋体" w:hAnsi="宋体" w:cs="宋体"/>
                <w:color w:val="auto"/>
                <w:kern w:val="0"/>
                <w:sz w:val="18"/>
                <w:szCs w:val="18"/>
                <w:highlight w:val="none"/>
                <w:lang w:val="en-US" w:eastAsia="zh-CN"/>
              </w:rPr>
              <w:t>3.</w:t>
            </w:r>
            <w:r>
              <w:rPr>
                <w:rFonts w:hint="default" w:ascii="宋体" w:hAnsi="宋体" w:cs="宋体"/>
                <w:color w:val="auto"/>
                <w:kern w:val="0"/>
                <w:sz w:val="18"/>
                <w:szCs w:val="18"/>
                <w:highlight w:val="none"/>
              </w:rPr>
              <w:t>鼓励学生结合实际多选修，多修学分可以直接抵扣艺术素养拓展课学分</w:t>
            </w:r>
            <w:r>
              <w:rPr>
                <w:rFonts w:hint="eastAsia" w:ascii="宋体" w:hAnsi="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002" w:type="dxa"/>
            <w:gridSpan w:val="2"/>
            <w:vAlign w:val="center"/>
          </w:tcPr>
          <w:p>
            <w:pPr>
              <w:jc w:val="center"/>
              <w:rPr>
                <w:rFonts w:ascii="宋体" w:hAnsi="宋体" w:cs="宋体"/>
                <w:color w:val="auto"/>
                <w:kern w:val="0"/>
                <w:highlight w:val="none"/>
              </w:rPr>
            </w:pPr>
            <w:r>
              <w:rPr>
                <w:rFonts w:hint="eastAsia" w:ascii="宋体" w:hAnsi="宋体" w:cs="宋体"/>
                <w:color w:val="auto"/>
                <w:kern w:val="0"/>
                <w:highlight w:val="none"/>
              </w:rPr>
              <w:t>合计</w:t>
            </w:r>
          </w:p>
        </w:tc>
        <w:tc>
          <w:tcPr>
            <w:tcW w:w="1095" w:type="dxa"/>
            <w:vAlign w:val="center"/>
          </w:tcPr>
          <w:p>
            <w:pPr>
              <w:jc w:val="center"/>
              <w:rPr>
                <w:rFonts w:hint="eastAsia" w:ascii="宋体" w:hAnsi="宋体" w:eastAsia="宋体" w:cs="宋体"/>
                <w:color w:val="auto"/>
                <w:highlight w:val="none"/>
                <w:lang w:eastAsia="zh-CN"/>
              </w:rPr>
            </w:pPr>
            <w:r>
              <w:rPr>
                <w:rFonts w:hint="eastAsia" w:ascii="宋体" w:hAnsi="宋体" w:cs="宋体"/>
                <w:color w:val="auto"/>
                <w:kern w:val="0"/>
                <w:highlight w:val="none"/>
                <w:lang w:val="en-US" w:eastAsia="zh-CN"/>
              </w:rPr>
              <w:t>31—33.5之间</w:t>
            </w:r>
          </w:p>
        </w:tc>
        <w:tc>
          <w:tcPr>
            <w:tcW w:w="968" w:type="dxa"/>
            <w:vAlign w:val="center"/>
          </w:tcPr>
          <w:p>
            <w:pPr>
              <w:jc w:val="center"/>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556-624之间</w:t>
            </w:r>
          </w:p>
        </w:tc>
        <w:tc>
          <w:tcPr>
            <w:tcW w:w="4950" w:type="dxa"/>
            <w:vAlign w:val="center"/>
          </w:tcPr>
          <w:p>
            <w:pPr>
              <w:jc w:val="center"/>
              <w:rPr>
                <w:rFonts w:ascii="宋体" w:hAnsi="宋体" w:cs="宋体"/>
                <w:color w:val="auto"/>
                <w:kern w:val="0"/>
                <w:highlight w:val="none"/>
              </w:rPr>
            </w:pPr>
          </w:p>
        </w:tc>
      </w:tr>
    </w:tbl>
    <w:p>
      <w:pPr>
        <w:pStyle w:val="8"/>
        <w:spacing w:before="0" w:beforeAutospacing="0" w:after="0" w:afterAutospacing="0" w:line="440" w:lineRule="exact"/>
        <w:ind w:firstLine="480" w:firstLineChars="200"/>
        <w:rPr>
          <w:color w:val="auto"/>
          <w:highlight w:val="none"/>
        </w:rPr>
      </w:pPr>
      <w:bookmarkStart w:id="13" w:name="_Toc419711120"/>
      <w:bookmarkStart w:id="14" w:name="_Toc423606073"/>
      <w:bookmarkStart w:id="15" w:name="_Toc419711796"/>
    </w:p>
    <w:p>
      <w:pPr>
        <w:pStyle w:val="8"/>
        <w:spacing w:before="0" w:beforeAutospacing="0" w:after="0" w:afterAutospacing="0" w:line="440" w:lineRule="exact"/>
        <w:ind w:firstLine="555"/>
        <w:rPr>
          <w:color w:val="auto"/>
          <w:spacing w:val="-6"/>
          <w:sz w:val="28"/>
          <w:szCs w:val="28"/>
          <w:highlight w:val="none"/>
        </w:rPr>
      </w:pPr>
      <w:r>
        <w:rPr>
          <w:rFonts w:hint="eastAsia"/>
          <w:color w:val="auto"/>
          <w:spacing w:val="-6"/>
          <w:sz w:val="28"/>
          <w:szCs w:val="28"/>
          <w:highlight w:val="none"/>
        </w:rPr>
        <w:t>四、教学进程表</w:t>
      </w:r>
      <w:bookmarkEnd w:id="13"/>
      <w:bookmarkEnd w:id="14"/>
      <w:bookmarkEnd w:id="15"/>
      <w:r>
        <w:rPr>
          <w:rFonts w:hint="eastAsia"/>
          <w:color w:val="auto"/>
          <w:spacing w:val="-6"/>
          <w:sz w:val="28"/>
          <w:szCs w:val="28"/>
          <w:highlight w:val="none"/>
        </w:rPr>
        <w:t>（见附表）</w:t>
      </w:r>
    </w:p>
    <w:p>
      <w:pPr>
        <w:pStyle w:val="8"/>
        <w:spacing w:before="0" w:beforeAutospacing="0" w:after="0" w:afterAutospacing="0" w:line="440" w:lineRule="exact"/>
        <w:ind w:firstLine="480" w:firstLineChars="200"/>
        <w:rPr>
          <w:color w:val="auto"/>
          <w:highlight w:val="none"/>
        </w:rPr>
      </w:pPr>
    </w:p>
    <w:p>
      <w:pPr>
        <w:pStyle w:val="8"/>
        <w:spacing w:before="0" w:beforeAutospacing="0" w:after="0" w:afterAutospacing="0" w:line="440" w:lineRule="exact"/>
        <w:ind w:firstLine="555"/>
        <w:rPr>
          <w:color w:val="auto"/>
          <w:spacing w:val="-6"/>
          <w:sz w:val="28"/>
          <w:szCs w:val="28"/>
          <w:highlight w:val="none"/>
        </w:rPr>
      </w:pPr>
      <w:bookmarkStart w:id="16" w:name="_Toc419711797"/>
      <w:bookmarkStart w:id="17" w:name="_Toc423606074"/>
      <w:bookmarkStart w:id="18" w:name="_Toc419711121"/>
      <w:r>
        <w:rPr>
          <w:rFonts w:hint="eastAsia"/>
          <w:color w:val="auto"/>
          <w:spacing w:val="-6"/>
          <w:sz w:val="28"/>
          <w:szCs w:val="28"/>
          <w:highlight w:val="none"/>
        </w:rPr>
        <w:t>五、必要的说明</w:t>
      </w:r>
      <w:bookmarkEnd w:id="16"/>
      <w:bookmarkEnd w:id="17"/>
      <w:bookmarkEnd w:id="18"/>
    </w:p>
    <w:p>
      <w:pPr>
        <w:pStyle w:val="8"/>
        <w:spacing w:before="0" w:beforeAutospacing="0" w:after="0" w:afterAutospacing="0" w:line="440" w:lineRule="exact"/>
        <w:ind w:firstLine="480" w:firstLineChars="200"/>
        <w:rPr>
          <w:color w:val="auto"/>
          <w:highlight w:val="none"/>
        </w:rPr>
      </w:pPr>
      <w:r>
        <w:rPr>
          <w:rFonts w:hint="eastAsia"/>
          <w:color w:val="auto"/>
          <w:highlight w:val="none"/>
        </w:rPr>
        <w:t>1、本教学计划本着实用为主、够用为度的原则修订，旨在提高学生的综合文化素养。</w:t>
      </w:r>
    </w:p>
    <w:p>
      <w:pPr>
        <w:pStyle w:val="8"/>
        <w:spacing w:before="0" w:beforeAutospacing="0" w:after="0" w:afterAutospacing="0" w:line="440" w:lineRule="exact"/>
        <w:ind w:firstLine="482" w:firstLineChars="200"/>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关于抵扣综合素质任选课学分：</w:t>
      </w:r>
    </w:p>
    <w:p>
      <w:pPr>
        <w:pStyle w:val="8"/>
        <w:spacing w:before="0" w:beforeAutospacing="0" w:after="0" w:afterAutospacing="0" w:line="440" w:lineRule="exact"/>
        <w:ind w:firstLine="480" w:firstLineChars="200"/>
        <w:rPr>
          <w:rFonts w:hint="eastAsia"/>
          <w:color w:val="auto"/>
          <w:highlight w:val="none"/>
        </w:rPr>
      </w:pPr>
      <w:r>
        <w:rPr>
          <w:rFonts w:hint="eastAsia"/>
          <w:color w:val="auto"/>
          <w:highlight w:val="none"/>
        </w:rPr>
        <w:t>（一）通过英语或计算机等级考试的学生不能免修综合素质任选课课程，可申请抵扣学分，具体要求如下：</w:t>
      </w:r>
    </w:p>
    <w:p>
      <w:pPr>
        <w:pStyle w:val="8"/>
        <w:spacing w:before="0" w:beforeAutospacing="0" w:after="0" w:afterAutospacing="0" w:line="440" w:lineRule="exact"/>
        <w:ind w:firstLine="480" w:firstLineChars="200"/>
        <w:rPr>
          <w:rFonts w:hint="eastAsia"/>
          <w:color w:val="auto"/>
          <w:highlight w:val="none"/>
        </w:rPr>
      </w:pPr>
      <w:r>
        <w:rPr>
          <w:rFonts w:hint="eastAsia"/>
          <w:color w:val="auto"/>
          <w:highlight w:val="none"/>
        </w:rPr>
        <w:t>1、通过全国高校英语应用能力水平考试A级或浙江省大学英语三级考试及以上等级，可申请抵扣综合素质任选课外语类2学分。</w:t>
      </w:r>
    </w:p>
    <w:p>
      <w:pPr>
        <w:pStyle w:val="8"/>
        <w:spacing w:before="0" w:beforeAutospacing="0" w:after="0" w:afterAutospacing="0" w:line="440" w:lineRule="exact"/>
        <w:ind w:firstLine="480" w:firstLineChars="200"/>
        <w:rPr>
          <w:rFonts w:hint="eastAsia"/>
          <w:color w:val="auto"/>
          <w:highlight w:val="none"/>
        </w:rPr>
      </w:pPr>
      <w:r>
        <w:rPr>
          <w:rFonts w:hint="eastAsia"/>
          <w:color w:val="auto"/>
          <w:highlight w:val="none"/>
        </w:rPr>
        <w:t>2、通过浙江省大学生计算机一级及以上等级的学生，可申请抵扣综合素质任选课综合类2学分。</w:t>
      </w:r>
    </w:p>
    <w:p>
      <w:pPr>
        <w:pStyle w:val="8"/>
        <w:spacing w:before="0" w:beforeAutospacing="0" w:after="0" w:afterAutospacing="0" w:line="440" w:lineRule="exact"/>
        <w:ind w:left="479" w:leftChars="228" w:firstLine="0" w:firstLineChars="0"/>
        <w:rPr>
          <w:color w:val="auto"/>
          <w:highlight w:val="none"/>
        </w:rPr>
      </w:pPr>
      <w:r>
        <w:rPr>
          <w:rFonts w:hint="eastAsia"/>
          <w:color w:val="auto"/>
          <w:highlight w:val="none"/>
        </w:rPr>
        <w:t>（二）取得专升本录取通知书的学生，可申请抵扣综合素质任选课2学分。3、关于考核、毕业</w:t>
      </w:r>
    </w:p>
    <w:p>
      <w:pPr>
        <w:pStyle w:val="8"/>
        <w:spacing w:before="0" w:beforeAutospacing="0" w:after="0" w:afterAutospacing="0" w:line="440" w:lineRule="exact"/>
        <w:ind w:firstLine="480" w:firstLineChars="200"/>
        <w:rPr>
          <w:color w:val="auto"/>
          <w:highlight w:val="none"/>
        </w:rPr>
      </w:pPr>
      <w:r>
        <w:rPr>
          <w:rFonts w:hint="eastAsia"/>
          <w:color w:val="auto"/>
          <w:highlight w:val="none"/>
        </w:rPr>
        <w:t>（1）学生每年必须参加体质健康标准测试，并在毕业前达到及格标准。</w:t>
      </w:r>
    </w:p>
    <w:p>
      <w:pPr>
        <w:pStyle w:val="8"/>
        <w:spacing w:before="0" w:beforeAutospacing="0" w:after="0" w:afterAutospacing="0" w:line="440" w:lineRule="exact"/>
        <w:ind w:firstLine="480" w:firstLineChars="200"/>
        <w:rPr>
          <w:color w:val="auto"/>
          <w:highlight w:val="none"/>
        </w:rPr>
      </w:pPr>
      <w:r>
        <w:rPr>
          <w:rFonts w:hint="eastAsia"/>
          <w:color w:val="auto"/>
          <w:highlight w:val="none"/>
        </w:rPr>
        <w:t>（2）学生必须在毕业前达到教学计划中规定的毕业最低学分限额和各类课程须修满的学分数。为了保证知识结构的合理性，所有必修课程的学分不能互相替代。学生选修总学分数即使已经达到毕业规定的最低学分要求，但只要某类课程的学分数不足，均不能取得毕业资格。</w:t>
      </w:r>
    </w:p>
    <w:p>
      <w:pPr>
        <w:pStyle w:val="8"/>
        <w:spacing w:before="0" w:beforeAutospacing="0" w:after="0" w:afterAutospacing="0" w:line="440" w:lineRule="exact"/>
        <w:ind w:firstLine="480" w:firstLineChars="200"/>
        <w:rPr>
          <w:color w:val="auto"/>
          <w:highlight w:val="none"/>
        </w:rPr>
      </w:pPr>
    </w:p>
    <w:p>
      <w:pPr>
        <w:pStyle w:val="8"/>
        <w:spacing w:before="0" w:beforeAutospacing="0" w:after="0" w:afterAutospacing="0" w:line="440" w:lineRule="exact"/>
        <w:ind w:firstLine="480" w:firstLineChars="200"/>
        <w:rPr>
          <w:color w:val="auto"/>
          <w:highlight w:val="none"/>
        </w:rPr>
        <w:sectPr>
          <w:footerReference r:id="rId3" w:type="default"/>
          <w:pgSz w:w="11906" w:h="16838"/>
          <w:pgMar w:top="1440" w:right="1800" w:bottom="1440" w:left="1800" w:header="851" w:footer="992" w:gutter="0"/>
          <w:cols w:space="720" w:num="1"/>
          <w:docGrid w:type="lines" w:linePitch="312" w:charSpace="0"/>
        </w:sectPr>
      </w:pPr>
    </w:p>
    <w:p>
      <w:pPr>
        <w:pStyle w:val="8"/>
        <w:spacing w:before="0" w:beforeAutospacing="0" w:after="0" w:afterAutospacing="0" w:line="440" w:lineRule="exact"/>
        <w:rPr>
          <w:color w:val="auto"/>
          <w:sz w:val="32"/>
          <w:szCs w:val="32"/>
          <w:highlight w:val="none"/>
        </w:rPr>
      </w:pPr>
      <w:r>
        <w:rPr>
          <w:rFonts w:hint="eastAsia"/>
          <w:color w:val="auto"/>
          <w:highlight w:val="none"/>
        </w:rPr>
        <w:t>附表：教学进程表</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95"/>
        <w:gridCol w:w="68"/>
        <w:gridCol w:w="507"/>
        <w:gridCol w:w="1725"/>
        <w:gridCol w:w="350"/>
        <w:gridCol w:w="401"/>
        <w:gridCol w:w="477"/>
        <w:gridCol w:w="412"/>
        <w:gridCol w:w="425"/>
        <w:gridCol w:w="598"/>
        <w:gridCol w:w="650"/>
        <w:gridCol w:w="612"/>
        <w:gridCol w:w="663"/>
        <w:gridCol w:w="587"/>
        <w:gridCol w:w="638"/>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tcBorders>
              <w:top w:val="single" w:color="auto" w:sz="4" w:space="0"/>
            </w:tcBorders>
            <w:vAlign w:val="center"/>
          </w:tcPr>
          <w:p>
            <w:pPr>
              <w:spacing w:line="240" w:lineRule="exact"/>
              <w:jc w:val="center"/>
              <w:rPr>
                <w:rFonts w:ascii="宋体" w:hAnsi="宋体" w:cs="宋体"/>
                <w:color w:val="auto"/>
                <w:sz w:val="18"/>
                <w:szCs w:val="18"/>
                <w:highlight w:val="none"/>
              </w:rPr>
            </w:pPr>
          </w:p>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w:t>
            </w:r>
          </w:p>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性质</w:t>
            </w:r>
          </w:p>
        </w:tc>
        <w:tc>
          <w:tcPr>
            <w:tcW w:w="495"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300" w:type="dxa"/>
            <w:gridSpan w:val="3"/>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课程名称</w:t>
            </w:r>
          </w:p>
        </w:tc>
        <w:tc>
          <w:tcPr>
            <w:tcW w:w="350"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课程类型</w:t>
            </w:r>
          </w:p>
        </w:tc>
        <w:tc>
          <w:tcPr>
            <w:tcW w:w="401"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课程学分</w:t>
            </w:r>
          </w:p>
        </w:tc>
        <w:tc>
          <w:tcPr>
            <w:tcW w:w="1314" w:type="dxa"/>
            <w:gridSpan w:val="3"/>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计划学时数</w:t>
            </w:r>
          </w:p>
        </w:tc>
        <w:tc>
          <w:tcPr>
            <w:tcW w:w="598"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考核方式</w:t>
            </w:r>
          </w:p>
        </w:tc>
        <w:tc>
          <w:tcPr>
            <w:tcW w:w="3762" w:type="dxa"/>
            <w:gridSpan w:val="6"/>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课堂教学周课时数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8"/>
                <w:szCs w:val="18"/>
                <w:highlight w:val="none"/>
              </w:rPr>
            </w:pPr>
          </w:p>
        </w:tc>
        <w:tc>
          <w:tcPr>
            <w:tcW w:w="495" w:type="dxa"/>
            <w:vMerge w:val="continue"/>
            <w:vAlign w:val="center"/>
          </w:tcPr>
          <w:p>
            <w:pPr>
              <w:spacing w:line="240" w:lineRule="exact"/>
              <w:jc w:val="center"/>
              <w:rPr>
                <w:rFonts w:ascii="宋体" w:hAnsi="宋体" w:cs="宋体"/>
                <w:color w:val="auto"/>
                <w:sz w:val="18"/>
                <w:szCs w:val="18"/>
                <w:highlight w:val="none"/>
              </w:rPr>
            </w:pPr>
          </w:p>
        </w:tc>
        <w:tc>
          <w:tcPr>
            <w:tcW w:w="2300" w:type="dxa"/>
            <w:gridSpan w:val="3"/>
            <w:vMerge w:val="continue"/>
            <w:vAlign w:val="center"/>
          </w:tcPr>
          <w:p>
            <w:pPr>
              <w:spacing w:line="240" w:lineRule="exact"/>
              <w:jc w:val="center"/>
              <w:rPr>
                <w:rFonts w:ascii="宋体" w:hAnsi="宋体" w:cs="宋体"/>
                <w:color w:val="auto"/>
                <w:sz w:val="18"/>
                <w:szCs w:val="18"/>
                <w:highlight w:val="none"/>
              </w:rPr>
            </w:pPr>
          </w:p>
        </w:tc>
        <w:tc>
          <w:tcPr>
            <w:tcW w:w="350" w:type="dxa"/>
            <w:vMerge w:val="continue"/>
            <w:vAlign w:val="center"/>
          </w:tcPr>
          <w:p>
            <w:pPr>
              <w:spacing w:line="240" w:lineRule="exact"/>
              <w:jc w:val="center"/>
              <w:rPr>
                <w:rFonts w:ascii="宋体" w:hAnsi="宋体" w:cs="宋体"/>
                <w:color w:val="auto"/>
                <w:sz w:val="18"/>
                <w:szCs w:val="18"/>
                <w:highlight w:val="none"/>
              </w:rPr>
            </w:pPr>
          </w:p>
        </w:tc>
        <w:tc>
          <w:tcPr>
            <w:tcW w:w="401" w:type="dxa"/>
            <w:vMerge w:val="continue"/>
            <w:vAlign w:val="center"/>
          </w:tcPr>
          <w:p>
            <w:pPr>
              <w:spacing w:line="240" w:lineRule="exact"/>
              <w:jc w:val="center"/>
              <w:rPr>
                <w:rFonts w:ascii="宋体" w:hAnsi="宋体" w:cs="宋体"/>
                <w:color w:val="auto"/>
                <w:sz w:val="18"/>
                <w:szCs w:val="18"/>
                <w:highlight w:val="none"/>
              </w:rPr>
            </w:pPr>
          </w:p>
        </w:tc>
        <w:tc>
          <w:tcPr>
            <w:tcW w:w="477" w:type="dxa"/>
            <w:vMerge w:val="restart"/>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共计</w:t>
            </w:r>
          </w:p>
        </w:tc>
        <w:tc>
          <w:tcPr>
            <w:tcW w:w="837" w:type="dxa"/>
            <w:gridSpan w:val="2"/>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其中</w:t>
            </w:r>
          </w:p>
        </w:tc>
        <w:tc>
          <w:tcPr>
            <w:tcW w:w="598" w:type="dxa"/>
            <w:vMerge w:val="continue"/>
            <w:vAlign w:val="center"/>
          </w:tcPr>
          <w:p>
            <w:pPr>
              <w:spacing w:line="240" w:lineRule="exact"/>
              <w:jc w:val="center"/>
              <w:rPr>
                <w:rFonts w:ascii="宋体" w:hAnsi="宋体" w:cs="宋体"/>
                <w:color w:val="auto"/>
                <w:sz w:val="18"/>
                <w:szCs w:val="18"/>
                <w:highlight w:val="none"/>
              </w:rPr>
            </w:pPr>
          </w:p>
        </w:tc>
        <w:tc>
          <w:tcPr>
            <w:tcW w:w="650"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一</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二</w:t>
            </w:r>
          </w:p>
        </w:tc>
        <w:tc>
          <w:tcPr>
            <w:tcW w:w="663"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三</w:t>
            </w:r>
          </w:p>
        </w:tc>
        <w:tc>
          <w:tcPr>
            <w:tcW w:w="587"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四</w:t>
            </w:r>
          </w:p>
        </w:tc>
        <w:tc>
          <w:tcPr>
            <w:tcW w:w="638"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五</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520" w:type="dxa"/>
            <w:vMerge w:val="continue"/>
            <w:vAlign w:val="center"/>
          </w:tcPr>
          <w:p>
            <w:pPr>
              <w:spacing w:line="240" w:lineRule="exact"/>
              <w:jc w:val="center"/>
              <w:rPr>
                <w:rFonts w:ascii="宋体" w:hAnsi="宋体" w:cs="宋体"/>
                <w:color w:val="auto"/>
                <w:sz w:val="18"/>
                <w:szCs w:val="18"/>
                <w:highlight w:val="none"/>
              </w:rPr>
            </w:pPr>
          </w:p>
        </w:tc>
        <w:tc>
          <w:tcPr>
            <w:tcW w:w="495" w:type="dxa"/>
            <w:vMerge w:val="continue"/>
            <w:vAlign w:val="center"/>
          </w:tcPr>
          <w:p>
            <w:pPr>
              <w:widowControl/>
              <w:spacing w:line="240" w:lineRule="exact"/>
              <w:jc w:val="center"/>
              <w:rPr>
                <w:rFonts w:ascii="宋体" w:hAnsi="宋体" w:cs="宋体"/>
                <w:color w:val="auto"/>
                <w:sz w:val="18"/>
                <w:szCs w:val="18"/>
                <w:highlight w:val="none"/>
              </w:rPr>
            </w:pPr>
          </w:p>
        </w:tc>
        <w:tc>
          <w:tcPr>
            <w:tcW w:w="2300" w:type="dxa"/>
            <w:gridSpan w:val="3"/>
            <w:vMerge w:val="continue"/>
            <w:vAlign w:val="center"/>
          </w:tcPr>
          <w:p>
            <w:pPr>
              <w:spacing w:line="240" w:lineRule="exact"/>
              <w:jc w:val="center"/>
              <w:rPr>
                <w:rFonts w:ascii="宋体" w:hAnsi="宋体" w:cs="宋体"/>
                <w:color w:val="auto"/>
                <w:sz w:val="18"/>
                <w:szCs w:val="18"/>
                <w:highlight w:val="none"/>
              </w:rPr>
            </w:pPr>
          </w:p>
        </w:tc>
        <w:tc>
          <w:tcPr>
            <w:tcW w:w="350" w:type="dxa"/>
            <w:vMerge w:val="continue"/>
            <w:vAlign w:val="center"/>
          </w:tcPr>
          <w:p>
            <w:pPr>
              <w:spacing w:line="240" w:lineRule="exact"/>
              <w:jc w:val="center"/>
              <w:rPr>
                <w:rFonts w:ascii="宋体" w:hAnsi="宋体" w:cs="宋体"/>
                <w:color w:val="auto"/>
                <w:sz w:val="18"/>
                <w:szCs w:val="18"/>
                <w:highlight w:val="none"/>
              </w:rPr>
            </w:pPr>
          </w:p>
        </w:tc>
        <w:tc>
          <w:tcPr>
            <w:tcW w:w="401" w:type="dxa"/>
            <w:vMerge w:val="continue"/>
            <w:vAlign w:val="center"/>
          </w:tcPr>
          <w:p>
            <w:pPr>
              <w:spacing w:line="240" w:lineRule="exact"/>
              <w:jc w:val="center"/>
              <w:rPr>
                <w:rFonts w:ascii="宋体" w:hAnsi="宋体" w:cs="宋体"/>
                <w:color w:val="auto"/>
                <w:sz w:val="18"/>
                <w:szCs w:val="18"/>
                <w:highlight w:val="none"/>
              </w:rPr>
            </w:pPr>
          </w:p>
        </w:tc>
        <w:tc>
          <w:tcPr>
            <w:tcW w:w="477" w:type="dxa"/>
            <w:vMerge w:val="continue"/>
            <w:vAlign w:val="center"/>
          </w:tcPr>
          <w:p>
            <w:pPr>
              <w:spacing w:line="240" w:lineRule="exact"/>
              <w:jc w:val="center"/>
              <w:rPr>
                <w:rFonts w:ascii="宋体" w:hAnsi="宋体" w:cs="宋体"/>
                <w:color w:val="auto"/>
                <w:sz w:val="18"/>
                <w:szCs w:val="18"/>
                <w:highlight w:val="none"/>
              </w:rPr>
            </w:pPr>
          </w:p>
        </w:tc>
        <w:tc>
          <w:tcPr>
            <w:tcW w:w="4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理论</w:t>
            </w:r>
          </w:p>
        </w:tc>
        <w:tc>
          <w:tcPr>
            <w:tcW w:w="425"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实践</w:t>
            </w:r>
          </w:p>
        </w:tc>
        <w:tc>
          <w:tcPr>
            <w:tcW w:w="598" w:type="dxa"/>
            <w:vMerge w:val="continue"/>
            <w:vAlign w:val="center"/>
          </w:tcPr>
          <w:p>
            <w:pPr>
              <w:spacing w:line="240" w:lineRule="exact"/>
              <w:jc w:val="center"/>
              <w:rPr>
                <w:rFonts w:ascii="宋体" w:hAnsi="宋体" w:cs="宋体"/>
                <w:color w:val="auto"/>
                <w:sz w:val="18"/>
                <w:szCs w:val="18"/>
                <w:highlight w:val="none"/>
              </w:rPr>
            </w:pPr>
          </w:p>
        </w:tc>
        <w:tc>
          <w:tcPr>
            <w:tcW w:w="650"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13周</w:t>
            </w:r>
          </w:p>
        </w:tc>
        <w:tc>
          <w:tcPr>
            <w:tcW w:w="612"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663"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587" w:type="dxa"/>
            <w:vAlign w:val="center"/>
          </w:tcPr>
          <w:p>
            <w:pPr>
              <w:spacing w:line="240" w:lineRule="exact"/>
              <w:jc w:val="center"/>
              <w:rPr>
                <w:rFonts w:ascii="宋体" w:hAnsi="宋体" w:cs="宋体"/>
                <w:color w:val="auto"/>
                <w:sz w:val="18"/>
                <w:szCs w:val="18"/>
                <w:highlight w:val="none"/>
              </w:rPr>
            </w:pPr>
            <w:r>
              <w:rPr>
                <w:rFonts w:hint="eastAsia" w:ascii="宋体" w:hAnsi="宋体" w:cs="宋体"/>
                <w:color w:val="auto"/>
                <w:sz w:val="18"/>
                <w:szCs w:val="18"/>
                <w:highlight w:val="none"/>
              </w:rPr>
              <w:t>16周</w:t>
            </w:r>
          </w:p>
        </w:tc>
        <w:tc>
          <w:tcPr>
            <w:tcW w:w="638" w:type="dxa"/>
            <w:vAlign w:val="center"/>
          </w:tcPr>
          <w:p>
            <w:pPr>
              <w:spacing w:line="240" w:lineRule="exact"/>
              <w:jc w:val="center"/>
              <w:rPr>
                <w:rFonts w:ascii="宋体" w:hAnsi="宋体" w:cs="宋体"/>
                <w:color w:val="auto"/>
                <w:spacing w:val="-24"/>
                <w:sz w:val="18"/>
                <w:szCs w:val="18"/>
                <w:highlight w:val="none"/>
              </w:rPr>
            </w:pPr>
            <w:r>
              <w:rPr>
                <w:rFonts w:hint="eastAsia" w:ascii="宋体" w:hAnsi="宋体" w:cs="宋体"/>
                <w:color w:val="auto"/>
                <w:sz w:val="18"/>
                <w:szCs w:val="18"/>
                <w:highlight w:val="none"/>
              </w:rPr>
              <w:t>16周</w:t>
            </w:r>
          </w:p>
        </w:tc>
        <w:tc>
          <w:tcPr>
            <w:tcW w:w="612" w:type="dxa"/>
            <w:vAlign w:val="center"/>
          </w:tcPr>
          <w:p>
            <w:pPr>
              <w:widowControl/>
              <w:spacing w:line="240" w:lineRule="exact"/>
              <w:jc w:val="center"/>
              <w:rPr>
                <w:rFonts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综合素质必修课</w:t>
            </w:r>
          </w:p>
        </w:tc>
        <w:tc>
          <w:tcPr>
            <w:tcW w:w="49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毛泽东思想和中国特色社会主义理论体系概论（一）</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32</w:t>
            </w:r>
          </w:p>
        </w:tc>
        <w:tc>
          <w:tcPr>
            <w:tcW w:w="412"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6</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2300" w:type="dxa"/>
            <w:gridSpan w:val="3"/>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毛泽东思想和中国特色社会主义理论体系概论（二）</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vAlign w:val="center"/>
          </w:tcPr>
          <w:p>
            <w:pPr>
              <w:spacing w:line="240" w:lineRule="exact"/>
              <w:jc w:val="center"/>
              <w:rPr>
                <w:rFonts w:hint="eastAsia"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w:t>
            </w:r>
          </w:p>
        </w:tc>
        <w:tc>
          <w:tcPr>
            <w:tcW w:w="2300" w:type="dxa"/>
            <w:gridSpan w:val="3"/>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思想道德修养与法律基础（一）</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Merge w:val="restart"/>
            <w:vAlign w:val="center"/>
          </w:tcPr>
          <w:p>
            <w:pPr>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4</w:t>
            </w:r>
          </w:p>
        </w:tc>
        <w:tc>
          <w:tcPr>
            <w:tcW w:w="2300" w:type="dxa"/>
            <w:gridSpan w:val="3"/>
            <w:shd w:val="clear" w:color="auto" w:fill="E7E6E6" w:themeFill="background2"/>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思想道德修养与法律基础（二）</w:t>
            </w:r>
          </w:p>
        </w:tc>
        <w:tc>
          <w:tcPr>
            <w:tcW w:w="350"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Merge w:val="continue"/>
            <w:shd w:val="clear" w:color="auto" w:fill="E7E6E6" w:themeFill="background2"/>
            <w:vAlign w:val="center"/>
          </w:tcPr>
          <w:p>
            <w:pPr>
              <w:widowControl/>
              <w:spacing w:line="240" w:lineRule="exact"/>
              <w:ind w:right="-141" w:rightChars="-67"/>
              <w:jc w:val="center"/>
              <w:rPr>
                <w:rFonts w:hint="eastAsia" w:ascii="宋体" w:hAnsi="宋体" w:cs="宋体"/>
                <w:color w:val="auto"/>
                <w:sz w:val="15"/>
                <w:szCs w:val="15"/>
                <w:highlight w:val="none"/>
              </w:rPr>
            </w:pPr>
          </w:p>
        </w:tc>
        <w:tc>
          <w:tcPr>
            <w:tcW w:w="477"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22</w:t>
            </w:r>
          </w:p>
        </w:tc>
        <w:tc>
          <w:tcPr>
            <w:tcW w:w="412"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22</w:t>
            </w:r>
          </w:p>
        </w:tc>
        <w:tc>
          <w:tcPr>
            <w:tcW w:w="425" w:type="dxa"/>
            <w:shd w:val="clear" w:color="auto" w:fill="E7E6E6" w:themeFill="background2"/>
            <w:vAlign w:val="center"/>
          </w:tcPr>
          <w:p>
            <w:pPr>
              <w:spacing w:line="240" w:lineRule="exact"/>
              <w:jc w:val="center"/>
              <w:rPr>
                <w:rFonts w:ascii="宋体" w:hAnsi="宋体" w:cs="宋体"/>
                <w:color w:val="auto"/>
                <w:sz w:val="15"/>
                <w:szCs w:val="15"/>
                <w:highlight w:val="none"/>
              </w:rPr>
            </w:pPr>
          </w:p>
        </w:tc>
        <w:tc>
          <w:tcPr>
            <w:tcW w:w="598"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p>
        </w:tc>
        <w:tc>
          <w:tcPr>
            <w:tcW w:w="612" w:type="dxa"/>
            <w:shd w:val="clear" w:color="auto" w:fill="E7E6E6" w:themeFill="background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663" w:type="dxa"/>
            <w:shd w:val="clear" w:color="auto" w:fill="E7E6E6" w:themeFill="background2"/>
            <w:vAlign w:val="center"/>
          </w:tcPr>
          <w:p>
            <w:pPr>
              <w:spacing w:line="240" w:lineRule="exact"/>
              <w:jc w:val="center"/>
              <w:rPr>
                <w:rFonts w:ascii="宋体" w:hAnsi="宋体" w:cs="宋体"/>
                <w:color w:val="auto"/>
                <w:sz w:val="15"/>
                <w:szCs w:val="15"/>
                <w:highlight w:val="none"/>
              </w:rPr>
            </w:pPr>
          </w:p>
        </w:tc>
        <w:tc>
          <w:tcPr>
            <w:tcW w:w="587" w:type="dxa"/>
            <w:shd w:val="clear" w:color="auto" w:fill="E7E6E6" w:themeFill="background2"/>
            <w:vAlign w:val="center"/>
          </w:tcPr>
          <w:p>
            <w:pPr>
              <w:spacing w:line="240" w:lineRule="exact"/>
              <w:jc w:val="center"/>
              <w:rPr>
                <w:rFonts w:ascii="宋体" w:hAnsi="宋体" w:cs="宋体"/>
                <w:color w:val="auto"/>
                <w:sz w:val="15"/>
                <w:szCs w:val="15"/>
                <w:highlight w:val="none"/>
              </w:rPr>
            </w:pPr>
          </w:p>
        </w:tc>
        <w:tc>
          <w:tcPr>
            <w:tcW w:w="638" w:type="dxa"/>
            <w:shd w:val="clear" w:color="auto" w:fill="E7E6E6" w:themeFill="background2"/>
            <w:vAlign w:val="center"/>
          </w:tcPr>
          <w:p>
            <w:pPr>
              <w:spacing w:line="240" w:lineRule="exact"/>
              <w:jc w:val="center"/>
              <w:rPr>
                <w:rFonts w:ascii="宋体" w:hAnsi="宋体" w:cs="宋体"/>
                <w:color w:val="auto"/>
                <w:spacing w:val="-24"/>
                <w:sz w:val="15"/>
                <w:szCs w:val="15"/>
                <w:highlight w:val="none"/>
              </w:rPr>
            </w:pPr>
          </w:p>
        </w:tc>
        <w:tc>
          <w:tcPr>
            <w:tcW w:w="612" w:type="dxa"/>
            <w:shd w:val="clear" w:color="auto" w:fill="E7E6E6" w:themeFill="background2"/>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5</w:t>
            </w:r>
          </w:p>
        </w:tc>
        <w:tc>
          <w:tcPr>
            <w:tcW w:w="2300" w:type="dxa"/>
            <w:gridSpan w:val="3"/>
            <w:shd w:val="clear" w:color="auto" w:fill="E7E6E6" w:themeFill="background2"/>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国史党史</w:t>
            </w:r>
          </w:p>
        </w:tc>
        <w:tc>
          <w:tcPr>
            <w:tcW w:w="350"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A</w:t>
            </w:r>
          </w:p>
        </w:tc>
        <w:tc>
          <w:tcPr>
            <w:tcW w:w="401" w:type="dxa"/>
            <w:shd w:val="clear" w:color="auto" w:fill="E7E6E6" w:themeFill="background2"/>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w:t>
            </w:r>
          </w:p>
        </w:tc>
        <w:tc>
          <w:tcPr>
            <w:tcW w:w="477"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16</w:t>
            </w:r>
          </w:p>
        </w:tc>
        <w:tc>
          <w:tcPr>
            <w:tcW w:w="412"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10</w:t>
            </w:r>
          </w:p>
        </w:tc>
        <w:tc>
          <w:tcPr>
            <w:tcW w:w="425" w:type="dxa"/>
            <w:shd w:val="clear" w:color="auto" w:fill="E7E6E6" w:themeFill="background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6</w:t>
            </w:r>
          </w:p>
        </w:tc>
        <w:tc>
          <w:tcPr>
            <w:tcW w:w="598" w:type="dxa"/>
            <w:shd w:val="clear" w:color="auto" w:fill="E7E6E6" w:themeFill="background2"/>
            <w:vAlign w:val="center"/>
          </w:tcPr>
          <w:p>
            <w:pPr>
              <w:spacing w:line="240" w:lineRule="exact"/>
              <w:jc w:val="both"/>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考查</w:t>
            </w:r>
          </w:p>
        </w:tc>
        <w:tc>
          <w:tcPr>
            <w:tcW w:w="650" w:type="dxa"/>
            <w:shd w:val="clear" w:color="auto" w:fill="E7E6E6" w:themeFill="background2"/>
            <w:vAlign w:val="center"/>
          </w:tcPr>
          <w:p>
            <w:pPr>
              <w:spacing w:line="240" w:lineRule="exact"/>
              <w:jc w:val="center"/>
              <w:rPr>
                <w:rFonts w:hint="eastAsia" w:ascii="宋体" w:hAnsi="宋体" w:cs="宋体"/>
                <w:color w:val="auto"/>
                <w:sz w:val="15"/>
                <w:szCs w:val="15"/>
                <w:highlight w:val="none"/>
              </w:rPr>
            </w:pPr>
          </w:p>
        </w:tc>
        <w:tc>
          <w:tcPr>
            <w:tcW w:w="612" w:type="dxa"/>
            <w:shd w:val="clear" w:color="auto" w:fill="E7E6E6" w:themeFill="background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2</w:t>
            </w:r>
          </w:p>
        </w:tc>
        <w:tc>
          <w:tcPr>
            <w:tcW w:w="663" w:type="dxa"/>
            <w:shd w:val="clear" w:color="auto" w:fill="E7E6E6" w:themeFill="background2"/>
            <w:vAlign w:val="center"/>
          </w:tcPr>
          <w:p>
            <w:pPr>
              <w:spacing w:line="240" w:lineRule="exact"/>
              <w:jc w:val="center"/>
              <w:rPr>
                <w:rFonts w:ascii="宋体" w:hAnsi="宋体" w:cs="宋体"/>
                <w:color w:val="auto"/>
                <w:sz w:val="15"/>
                <w:szCs w:val="15"/>
                <w:highlight w:val="none"/>
              </w:rPr>
            </w:pPr>
          </w:p>
        </w:tc>
        <w:tc>
          <w:tcPr>
            <w:tcW w:w="587" w:type="dxa"/>
            <w:shd w:val="clear" w:color="auto" w:fill="E7E6E6" w:themeFill="background2"/>
            <w:vAlign w:val="center"/>
          </w:tcPr>
          <w:p>
            <w:pPr>
              <w:spacing w:line="240" w:lineRule="exact"/>
              <w:jc w:val="center"/>
              <w:rPr>
                <w:rFonts w:ascii="宋体" w:hAnsi="宋体" w:cs="宋体"/>
                <w:color w:val="auto"/>
                <w:sz w:val="15"/>
                <w:szCs w:val="15"/>
                <w:highlight w:val="none"/>
              </w:rPr>
            </w:pPr>
          </w:p>
        </w:tc>
        <w:tc>
          <w:tcPr>
            <w:tcW w:w="638" w:type="dxa"/>
            <w:shd w:val="clear" w:color="auto" w:fill="E7E6E6" w:themeFill="background2"/>
            <w:vAlign w:val="center"/>
          </w:tcPr>
          <w:p>
            <w:pPr>
              <w:spacing w:line="240" w:lineRule="exact"/>
              <w:jc w:val="center"/>
              <w:rPr>
                <w:rFonts w:ascii="宋体" w:hAnsi="宋体" w:cs="宋体"/>
                <w:color w:val="auto"/>
                <w:spacing w:val="-24"/>
                <w:sz w:val="15"/>
                <w:szCs w:val="15"/>
                <w:highlight w:val="none"/>
              </w:rPr>
            </w:pPr>
          </w:p>
        </w:tc>
        <w:tc>
          <w:tcPr>
            <w:tcW w:w="612" w:type="dxa"/>
            <w:shd w:val="clear" w:color="auto" w:fill="E7E6E6" w:themeFill="background2"/>
            <w:vAlign w:val="center"/>
          </w:tcPr>
          <w:p>
            <w:pPr>
              <w:widowControl/>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阶段制教学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49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6</w:t>
            </w:r>
          </w:p>
        </w:tc>
        <w:tc>
          <w:tcPr>
            <w:tcW w:w="2300" w:type="dxa"/>
            <w:gridSpan w:val="3"/>
            <w:vAlign w:val="center"/>
          </w:tcPr>
          <w:p>
            <w:pPr>
              <w:widowControl/>
              <w:spacing w:line="240" w:lineRule="exact"/>
              <w:ind w:right="-141" w:rightChars="-67"/>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形势与政策教育*</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1</w:t>
            </w:r>
          </w:p>
        </w:tc>
        <w:tc>
          <w:tcPr>
            <w:tcW w:w="477" w:type="dxa"/>
            <w:shd w:val="clear" w:color="auto" w:fill="FFFF00"/>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40</w:t>
            </w:r>
          </w:p>
        </w:tc>
        <w:tc>
          <w:tcPr>
            <w:tcW w:w="412" w:type="dxa"/>
            <w:shd w:val="clear" w:color="auto" w:fill="FFFF00"/>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40</w:t>
            </w:r>
          </w:p>
        </w:tc>
        <w:tc>
          <w:tcPr>
            <w:tcW w:w="425"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0</w:t>
            </w:r>
          </w:p>
        </w:tc>
        <w:tc>
          <w:tcPr>
            <w:tcW w:w="598" w:type="dxa"/>
            <w:shd w:val="clear" w:color="auto" w:fill="FFFF00"/>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shd w:val="clear" w:color="auto" w:fill="FFFF00"/>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4*</w:t>
            </w:r>
            <w:r>
              <w:rPr>
                <w:rFonts w:hint="eastAsia" w:ascii="宋体" w:hAnsi="宋体" w:cs="宋体"/>
                <w:color w:val="auto"/>
                <w:sz w:val="15"/>
                <w:szCs w:val="15"/>
                <w:highlight w:val="none"/>
                <w:lang w:val="en-US" w:eastAsia="zh-CN"/>
              </w:rPr>
              <w:t>2</w:t>
            </w:r>
          </w:p>
        </w:tc>
        <w:tc>
          <w:tcPr>
            <w:tcW w:w="612"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4*</w:t>
            </w:r>
            <w:r>
              <w:rPr>
                <w:rFonts w:hint="eastAsia" w:ascii="宋体" w:hAnsi="宋体" w:cs="宋体"/>
                <w:color w:val="auto"/>
                <w:sz w:val="15"/>
                <w:szCs w:val="15"/>
                <w:highlight w:val="none"/>
                <w:lang w:val="en-US" w:eastAsia="zh-CN"/>
              </w:rPr>
              <w:t>2</w:t>
            </w:r>
          </w:p>
        </w:tc>
        <w:tc>
          <w:tcPr>
            <w:tcW w:w="663"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4*</w:t>
            </w:r>
            <w:r>
              <w:rPr>
                <w:rFonts w:hint="eastAsia" w:ascii="宋体" w:hAnsi="宋体" w:cs="宋体"/>
                <w:color w:val="auto"/>
                <w:sz w:val="15"/>
                <w:szCs w:val="15"/>
                <w:highlight w:val="none"/>
                <w:lang w:val="en-US" w:eastAsia="zh-CN"/>
              </w:rPr>
              <w:t>2</w:t>
            </w:r>
          </w:p>
        </w:tc>
        <w:tc>
          <w:tcPr>
            <w:tcW w:w="587" w:type="dxa"/>
            <w:shd w:val="clear" w:color="auto" w:fill="FFFF00"/>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4*</w:t>
            </w:r>
            <w:r>
              <w:rPr>
                <w:rFonts w:hint="eastAsia" w:ascii="宋体" w:hAnsi="宋体" w:cs="宋体"/>
                <w:color w:val="auto"/>
                <w:sz w:val="15"/>
                <w:szCs w:val="15"/>
                <w:highlight w:val="none"/>
                <w:lang w:val="en-US" w:eastAsia="zh-CN"/>
              </w:rPr>
              <w:t>2</w:t>
            </w:r>
          </w:p>
        </w:tc>
        <w:tc>
          <w:tcPr>
            <w:tcW w:w="638" w:type="dxa"/>
            <w:shd w:val="clear" w:color="auto" w:fill="FFFF00"/>
            <w:vAlign w:val="center"/>
          </w:tcPr>
          <w:p>
            <w:pPr>
              <w:spacing w:line="240" w:lineRule="exact"/>
              <w:jc w:val="center"/>
              <w:rPr>
                <w:rFonts w:ascii="宋体" w:hAnsi="宋体" w:cs="宋体"/>
                <w:color w:val="auto"/>
                <w:spacing w:val="-24"/>
                <w:sz w:val="15"/>
                <w:szCs w:val="15"/>
                <w:highlight w:val="none"/>
              </w:rPr>
            </w:pPr>
            <w:r>
              <w:rPr>
                <w:rFonts w:hint="eastAsia" w:ascii="宋体" w:hAnsi="宋体" w:cs="宋体"/>
                <w:color w:val="auto"/>
                <w:sz w:val="15"/>
                <w:szCs w:val="15"/>
                <w:highlight w:val="none"/>
              </w:rPr>
              <w:t>4*</w:t>
            </w:r>
            <w:r>
              <w:rPr>
                <w:rFonts w:hint="eastAsia" w:ascii="宋体" w:hAnsi="宋体" w:cs="宋体"/>
                <w:color w:val="auto"/>
                <w:sz w:val="15"/>
                <w:szCs w:val="15"/>
                <w:highlight w:val="none"/>
                <w:lang w:val="en-US" w:eastAsia="zh-CN"/>
              </w:rPr>
              <w:t>2</w:t>
            </w: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7</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大学生心理健康教育*</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22</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10</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rPr>
              <w:t>1*1</w:t>
            </w:r>
            <w:r>
              <w:rPr>
                <w:rFonts w:hint="eastAsia" w:ascii="宋体" w:hAnsi="宋体" w:cs="宋体"/>
                <w:b/>
                <w:bCs/>
                <w:color w:val="auto"/>
                <w:sz w:val="15"/>
                <w:szCs w:val="15"/>
                <w:highlight w:val="none"/>
                <w:lang w:val="en-US" w:eastAsia="zh-CN"/>
              </w:rPr>
              <w:t>6</w:t>
            </w:r>
          </w:p>
        </w:tc>
        <w:tc>
          <w:tcPr>
            <w:tcW w:w="612" w:type="dxa"/>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rPr>
              <w:t>1*1</w:t>
            </w:r>
            <w:r>
              <w:rPr>
                <w:rFonts w:hint="eastAsia" w:ascii="宋体" w:hAnsi="宋体" w:cs="宋体"/>
                <w:b/>
                <w:bCs/>
                <w:color w:val="auto"/>
                <w:sz w:val="15"/>
                <w:szCs w:val="15"/>
                <w:highlight w:val="none"/>
                <w:lang w:val="en-US" w:eastAsia="zh-CN"/>
              </w:rPr>
              <w:t>6</w:t>
            </w:r>
          </w:p>
        </w:tc>
        <w:tc>
          <w:tcPr>
            <w:tcW w:w="663" w:type="dxa"/>
            <w:vAlign w:val="center"/>
          </w:tcPr>
          <w:p>
            <w:pPr>
              <w:spacing w:line="240" w:lineRule="exact"/>
              <w:jc w:val="center"/>
              <w:rPr>
                <w:rFonts w:ascii="宋体" w:hAnsi="宋体" w:cs="宋体"/>
                <w:b/>
                <w:bCs/>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8</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大学生职业发展与就业指导*</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40</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30</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10</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开卷考试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lang w:val="en-US" w:eastAsia="zh-CN"/>
              </w:rPr>
              <w:t>4</w:t>
            </w:r>
            <w:r>
              <w:rPr>
                <w:rFonts w:hint="eastAsia" w:ascii="宋体" w:hAnsi="宋体" w:cs="宋体"/>
                <w:color w:val="auto"/>
                <w:sz w:val="15"/>
                <w:szCs w:val="15"/>
                <w:highlight w:val="none"/>
              </w:rPr>
              <w:t>*4</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b/>
                <w:bCs/>
                <w:color w:val="auto"/>
                <w:sz w:val="15"/>
                <w:szCs w:val="15"/>
                <w:highlight w:val="none"/>
              </w:rPr>
            </w:pPr>
          </w:p>
        </w:tc>
        <w:tc>
          <w:tcPr>
            <w:tcW w:w="587" w:type="dxa"/>
            <w:vAlign w:val="center"/>
          </w:tcPr>
          <w:p>
            <w:pPr>
              <w:spacing w:line="240" w:lineRule="exact"/>
              <w:jc w:val="center"/>
              <w:rPr>
                <w:rFonts w:ascii="宋体" w:hAnsi="宋体" w:cs="宋体"/>
                <w:b/>
                <w:bCs/>
                <w:color w:val="auto"/>
                <w:sz w:val="15"/>
                <w:szCs w:val="15"/>
                <w:highlight w:val="none"/>
              </w:rPr>
            </w:pPr>
            <w:r>
              <w:rPr>
                <w:rFonts w:hint="eastAsia" w:ascii="宋体" w:hAnsi="宋体" w:cs="宋体"/>
                <w:b/>
                <w:bCs/>
                <w:color w:val="auto"/>
                <w:sz w:val="15"/>
                <w:szCs w:val="15"/>
                <w:highlight w:val="none"/>
              </w:rPr>
              <w:t>4*4</w:t>
            </w:r>
          </w:p>
        </w:tc>
        <w:tc>
          <w:tcPr>
            <w:tcW w:w="63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3*4</w:t>
            </w: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9</w:t>
            </w:r>
          </w:p>
        </w:tc>
        <w:tc>
          <w:tcPr>
            <w:tcW w:w="2300" w:type="dxa"/>
            <w:gridSpan w:val="3"/>
            <w:vAlign w:val="center"/>
          </w:tcPr>
          <w:p>
            <w:pPr>
              <w:widowControl/>
              <w:spacing w:line="240" w:lineRule="exact"/>
              <w:ind w:right="-141" w:rightChars="-67" w:firstLine="600" w:firstLineChars="400"/>
              <w:rPr>
                <w:rFonts w:ascii="宋体" w:hAnsi="宋体" w:cs="宋体"/>
                <w:color w:val="auto"/>
                <w:sz w:val="15"/>
                <w:szCs w:val="15"/>
                <w:highlight w:val="none"/>
              </w:rPr>
            </w:pPr>
            <w:r>
              <w:rPr>
                <w:rFonts w:hint="eastAsia" w:ascii="宋体" w:hAnsi="宋体" w:cs="宋体"/>
                <w:color w:val="auto"/>
                <w:sz w:val="15"/>
                <w:szCs w:val="15"/>
                <w:highlight w:val="none"/>
              </w:rPr>
              <w:t>安全教育</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24</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24</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0</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58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63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10</w:t>
            </w:r>
          </w:p>
        </w:tc>
        <w:tc>
          <w:tcPr>
            <w:tcW w:w="2300" w:type="dxa"/>
            <w:gridSpan w:val="3"/>
            <w:vAlign w:val="center"/>
          </w:tcPr>
          <w:p>
            <w:pPr>
              <w:widowControl/>
              <w:spacing w:line="240" w:lineRule="exact"/>
              <w:ind w:right="-141" w:rightChars="-67" w:firstLine="750" w:firstLineChars="500"/>
              <w:rPr>
                <w:rFonts w:ascii="宋体" w:hAnsi="宋体" w:cs="宋体"/>
                <w:color w:val="auto"/>
                <w:sz w:val="15"/>
                <w:szCs w:val="15"/>
                <w:highlight w:val="none"/>
              </w:rPr>
            </w:pPr>
            <w:r>
              <w:rPr>
                <w:rFonts w:hint="eastAsia" w:ascii="宋体" w:hAnsi="宋体" w:cs="宋体"/>
                <w:color w:val="auto"/>
                <w:sz w:val="15"/>
                <w:szCs w:val="15"/>
                <w:highlight w:val="none"/>
              </w:rPr>
              <w:t>军训*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80</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36</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44</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2周</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widowControl/>
              <w:spacing w:line="240" w:lineRule="exact"/>
              <w:ind w:right="-141" w:rightChars="-67"/>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11</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体育（一）（部分专业不设）</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widowControl/>
              <w:spacing w:line="240" w:lineRule="exact"/>
              <w:ind w:right="-141" w:rightChars="-67"/>
              <w:jc w:val="center"/>
              <w:rPr>
                <w:rFonts w:hint="eastAsia" w:ascii="宋体" w:hAnsi="宋体" w:eastAsia="宋体" w:cs="宋体"/>
                <w:b/>
                <w:bCs/>
                <w:color w:val="auto"/>
                <w:sz w:val="15"/>
                <w:szCs w:val="15"/>
                <w:highlight w:val="none"/>
                <w:lang w:val="en-US" w:eastAsia="zh-CN"/>
              </w:rPr>
            </w:pPr>
            <w:r>
              <w:rPr>
                <w:rFonts w:hint="eastAsia" w:ascii="宋体" w:hAnsi="宋体" w:cs="宋体"/>
                <w:b/>
                <w:bCs/>
                <w:color w:val="auto"/>
                <w:sz w:val="15"/>
                <w:szCs w:val="15"/>
                <w:highlight w:val="none"/>
                <w:lang w:val="en-US" w:eastAsia="zh-CN"/>
              </w:rPr>
              <w:t>1</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24</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12</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体育（二）（部分专业不设）</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widowControl/>
              <w:spacing w:line="240" w:lineRule="exact"/>
              <w:ind w:right="-141" w:rightChars="-67"/>
              <w:jc w:val="center"/>
              <w:rPr>
                <w:rFonts w:hint="eastAsia" w:ascii="宋体" w:hAnsi="宋体" w:eastAsia="宋体" w:cs="宋体"/>
                <w:b/>
                <w:bCs/>
                <w:color w:val="auto"/>
                <w:sz w:val="15"/>
                <w:szCs w:val="15"/>
                <w:highlight w:val="none"/>
                <w:lang w:val="en-US" w:eastAsia="zh-CN"/>
              </w:rPr>
            </w:pPr>
            <w:r>
              <w:rPr>
                <w:rFonts w:hint="eastAsia" w:ascii="宋体" w:hAnsi="宋体" w:cs="宋体"/>
                <w:b/>
                <w:bCs/>
                <w:color w:val="auto"/>
                <w:sz w:val="15"/>
                <w:szCs w:val="15"/>
                <w:highlight w:val="none"/>
                <w:lang w:val="en-US" w:eastAsia="zh-CN"/>
              </w:rPr>
              <w:t>1</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30</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495" w:type="dxa"/>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13</w:t>
            </w:r>
          </w:p>
        </w:tc>
        <w:tc>
          <w:tcPr>
            <w:tcW w:w="2300" w:type="dxa"/>
            <w:gridSpan w:val="3"/>
            <w:vAlign w:val="center"/>
          </w:tcPr>
          <w:p>
            <w:pPr>
              <w:widowControl/>
              <w:spacing w:line="240" w:lineRule="exact"/>
              <w:ind w:right="-141" w:rightChars="-67"/>
              <w:jc w:val="center"/>
              <w:rPr>
                <w:rFonts w:ascii="宋体" w:hAnsi="宋体" w:cs="宋体"/>
                <w:color w:val="auto"/>
                <w:sz w:val="15"/>
                <w:szCs w:val="15"/>
                <w:highlight w:val="none"/>
              </w:rPr>
            </w:pPr>
            <w:r>
              <w:rPr>
                <w:rFonts w:hint="eastAsia" w:ascii="宋体" w:hAnsi="宋体" w:cs="宋体"/>
                <w:color w:val="auto"/>
                <w:sz w:val="15"/>
                <w:szCs w:val="15"/>
                <w:highlight w:val="none"/>
              </w:rPr>
              <w:t>体育（三）（部分专业不设）</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widowControl/>
              <w:spacing w:line="240" w:lineRule="exact"/>
              <w:ind w:right="-141" w:rightChars="-67"/>
              <w:jc w:val="center"/>
              <w:rPr>
                <w:rFonts w:hint="eastAsia" w:ascii="宋体" w:hAnsi="宋体" w:eastAsia="宋体" w:cs="宋体"/>
                <w:b/>
                <w:bCs/>
                <w:color w:val="auto"/>
                <w:sz w:val="15"/>
                <w:szCs w:val="15"/>
                <w:highlight w:val="none"/>
                <w:lang w:val="en-US" w:eastAsia="zh-CN"/>
              </w:rPr>
            </w:pPr>
            <w:r>
              <w:rPr>
                <w:rFonts w:hint="eastAsia" w:ascii="宋体" w:hAnsi="宋体" w:cs="宋体"/>
                <w:b/>
                <w:bCs/>
                <w:color w:val="auto"/>
                <w:sz w:val="15"/>
                <w:szCs w:val="15"/>
                <w:highlight w:val="none"/>
                <w:lang w:val="en-US" w:eastAsia="zh-CN"/>
              </w:rPr>
              <w:t>0.5</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16</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14</w:t>
            </w: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技能测试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2*8</w:t>
            </w: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0"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6"/>
            <w:vAlign w:val="center"/>
          </w:tcPr>
          <w:p>
            <w:pPr>
              <w:widowControl/>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备注：1.带“*”号课程排课不计入周学时。就业指导含始业教育、就业指导、毕业教育等内容。</w:t>
            </w:r>
          </w:p>
          <w:p>
            <w:pPr>
              <w:widowControl/>
              <w:numPr>
                <w:ilvl w:val="0"/>
                <w:numId w:val="2"/>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rPr>
              <w:t>综合素质必修课须修满</w:t>
            </w:r>
            <w:r>
              <w:rPr>
                <w:rFonts w:hint="eastAsia" w:ascii="宋体" w:hAnsi="宋体" w:cs="宋体"/>
                <w:b/>
                <w:bCs/>
                <w:color w:val="auto"/>
                <w:sz w:val="15"/>
                <w:szCs w:val="15"/>
                <w:highlight w:val="none"/>
                <w:lang w:val="en-US" w:eastAsia="zh-CN"/>
              </w:rPr>
              <w:t>19.5</w:t>
            </w:r>
            <w:r>
              <w:rPr>
                <w:rFonts w:hint="eastAsia" w:ascii="宋体" w:hAnsi="宋体" w:cs="宋体"/>
                <w:color w:val="auto"/>
                <w:sz w:val="15"/>
                <w:szCs w:val="15"/>
                <w:highlight w:val="none"/>
              </w:rPr>
              <w:t>学分，不设体育的专业为</w:t>
            </w:r>
            <w:r>
              <w:rPr>
                <w:rFonts w:hint="eastAsia" w:ascii="宋体" w:hAnsi="宋体" w:cs="宋体"/>
                <w:b/>
                <w:bCs/>
                <w:color w:val="auto"/>
                <w:sz w:val="15"/>
                <w:szCs w:val="15"/>
                <w:highlight w:val="none"/>
                <w:lang w:val="en-US" w:eastAsia="zh-CN"/>
              </w:rPr>
              <w:t>17</w:t>
            </w:r>
            <w:r>
              <w:rPr>
                <w:rFonts w:hint="eastAsia" w:ascii="宋体" w:hAnsi="宋体" w:cs="宋体"/>
                <w:color w:val="auto"/>
                <w:sz w:val="15"/>
                <w:szCs w:val="15"/>
                <w:highlight w:val="none"/>
              </w:rPr>
              <w:t>学分。</w:t>
            </w:r>
          </w:p>
          <w:p>
            <w:pPr>
              <w:widowControl/>
              <w:numPr>
                <w:ilvl w:val="0"/>
                <w:numId w:val="2"/>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rPr>
              <w:t>不设体育的专业包括舞蹈系全部专业、戏剧系全部专业和音乐系歌舞表演专业。</w:t>
            </w:r>
          </w:p>
          <w:p>
            <w:pPr>
              <w:widowControl/>
              <w:numPr>
                <w:ilvl w:val="0"/>
                <w:numId w:val="2"/>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rPr>
              <w:t>体育（三）从第四学期期初开始连续上8周。</w:t>
            </w:r>
          </w:p>
          <w:p>
            <w:pPr>
              <w:widowControl/>
              <w:numPr>
                <w:ilvl w:val="0"/>
                <w:numId w:val="2"/>
              </w:numPr>
              <w:spacing w:line="240" w:lineRule="exact"/>
              <w:ind w:firstLine="450" w:firstLineChars="300"/>
              <w:jc w:val="left"/>
              <w:rPr>
                <w:rFonts w:ascii="宋体" w:hAnsi="宋体" w:cs="宋体"/>
                <w:color w:val="auto"/>
                <w:sz w:val="15"/>
                <w:szCs w:val="15"/>
                <w:highlight w:val="none"/>
              </w:rPr>
            </w:pPr>
            <w:r>
              <w:rPr>
                <w:rFonts w:hint="eastAsia" w:ascii="宋体" w:hAnsi="宋体" w:cs="宋体"/>
                <w:color w:val="auto"/>
                <w:sz w:val="15"/>
                <w:szCs w:val="15"/>
                <w:highlight w:val="none"/>
              </w:rPr>
              <w:t>安全教育每学期须完成60节微课，每个微课3分钟，每学期合计4学时。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center"/>
        </w:trPr>
        <w:tc>
          <w:tcPr>
            <w:tcW w:w="520"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综合素质限定选修课</w:t>
            </w: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文史类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大学语文</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闭卷考试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外语类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大学英语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w:t>
            </w:r>
          </w:p>
        </w:tc>
        <w:tc>
          <w:tcPr>
            <w:tcW w:w="50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计算机应用基础</w:t>
            </w:r>
          </w:p>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(部分专业不设）</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26</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上机考试</w:t>
            </w:r>
          </w:p>
        </w:tc>
        <w:tc>
          <w:tcPr>
            <w:tcW w:w="6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6"/>
            <w:vAlign w:val="center"/>
          </w:tcPr>
          <w:p>
            <w:pPr>
              <w:widowControl/>
              <w:spacing w:line="240" w:lineRule="exact"/>
              <w:ind w:left="600" w:hanging="600" w:hangingChars="400"/>
              <w:jc w:val="left"/>
              <w:rPr>
                <w:rFonts w:ascii="宋体" w:hAnsi="宋体" w:cs="宋体"/>
                <w:color w:val="auto"/>
                <w:sz w:val="15"/>
                <w:szCs w:val="15"/>
                <w:highlight w:val="none"/>
              </w:rPr>
            </w:pPr>
            <w:r>
              <w:rPr>
                <w:rFonts w:hint="eastAsia" w:ascii="宋体" w:hAnsi="宋体" w:cs="宋体"/>
                <w:color w:val="auto"/>
                <w:sz w:val="15"/>
                <w:szCs w:val="15"/>
                <w:highlight w:val="none"/>
              </w:rPr>
              <w:t>备注：1、综合素质限定选修课最低须修满6学分。（其中文史类、外语类、综合类各2学分）。不设计算机应用基础的系部最低须修满4学分。（其中文史类、外语类各2学分）。</w:t>
            </w:r>
          </w:p>
          <w:p>
            <w:pPr>
              <w:widowControl/>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 xml:space="preserve">      2、不设计算机应用基础的专业包括影视技术系和美术系全部专业。（其中不包含3+2专业）。</w:t>
            </w:r>
          </w:p>
          <w:p>
            <w:pPr>
              <w:widowControl/>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 xml:space="preserve">      3、大学英语课程将根据学生英语水平实行分层教学，分为大学英语（初阶）</w:t>
            </w:r>
            <w:r>
              <w:rPr>
                <w:rFonts w:hint="eastAsia" w:ascii="宋体" w:hAnsi="宋体" w:cs="宋体"/>
                <w:color w:val="auto"/>
                <w:sz w:val="15"/>
                <w:szCs w:val="15"/>
                <w:highlight w:val="none"/>
                <w:lang w:eastAsia="zh-CN"/>
              </w:rPr>
              <w:t>、</w:t>
            </w:r>
            <w:r>
              <w:rPr>
                <w:rFonts w:hint="eastAsia" w:ascii="宋体" w:hAnsi="宋体" w:cs="宋体"/>
                <w:color w:val="auto"/>
                <w:sz w:val="15"/>
                <w:szCs w:val="15"/>
                <w:highlight w:val="none"/>
              </w:rPr>
              <w:t>大学英语（中阶）</w:t>
            </w:r>
            <w:r>
              <w:rPr>
                <w:rFonts w:hint="eastAsia" w:ascii="宋体" w:hAnsi="宋体" w:cs="宋体"/>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综合素质任意选修课</w:t>
            </w: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w:t>
            </w:r>
          </w:p>
        </w:tc>
        <w:tc>
          <w:tcPr>
            <w:tcW w:w="507"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文史类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古典诗词欣赏</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2</w:t>
            </w:r>
          </w:p>
        </w:tc>
        <w:tc>
          <w:tcPr>
            <w:tcW w:w="507" w:type="dxa"/>
            <w:vMerge w:val="continue"/>
            <w:vAlign w:val="center"/>
          </w:tcPr>
          <w:p>
            <w:pPr>
              <w:spacing w:line="240" w:lineRule="exact"/>
              <w:jc w:val="center"/>
              <w:rPr>
                <w:rFonts w:hint="eastAsia"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世界名著赏析</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3</w:t>
            </w:r>
          </w:p>
        </w:tc>
        <w:tc>
          <w:tcPr>
            <w:tcW w:w="507" w:type="dxa"/>
            <w:vMerge w:val="continue"/>
            <w:vAlign w:val="center"/>
          </w:tcPr>
          <w:p>
            <w:pPr>
              <w:spacing w:line="240" w:lineRule="exact"/>
              <w:jc w:val="center"/>
              <w:rPr>
                <w:rFonts w:hint="eastAsia"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影视文学欣赏</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hint="eastAsia"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20" w:type="dxa"/>
            <w:vMerge w:val="continue"/>
            <w:vAlign w:val="center"/>
          </w:tcPr>
          <w:p>
            <w:pPr>
              <w:spacing w:line="240" w:lineRule="exact"/>
              <w:jc w:val="center"/>
              <w:rPr>
                <w:rFonts w:hint="eastAsia"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4</w:t>
            </w:r>
          </w:p>
        </w:tc>
        <w:tc>
          <w:tcPr>
            <w:tcW w:w="507" w:type="dxa"/>
            <w:vMerge w:val="continue"/>
            <w:vAlign w:val="center"/>
          </w:tcPr>
          <w:p>
            <w:pPr>
              <w:spacing w:line="240" w:lineRule="exact"/>
              <w:jc w:val="center"/>
              <w:rPr>
                <w:rFonts w:hint="eastAsia"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东西方文化与心理</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hint="eastAsia"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5</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中国传统文化专题选讲</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6</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中国现代诗文鉴赏</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7</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文化杂谈</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8</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文学大家</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9</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普通话正音</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现场面试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10</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经典诵读</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现场面试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11</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专升本语文（上）</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12</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专升本语文（下）</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rPr>
              <w:t>√</w:t>
            </w: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13</w:t>
            </w:r>
          </w:p>
        </w:tc>
        <w:tc>
          <w:tcPr>
            <w:tcW w:w="507"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外语类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大学英语（高阶）</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14</w:t>
            </w:r>
          </w:p>
        </w:tc>
        <w:tc>
          <w:tcPr>
            <w:tcW w:w="507" w:type="dxa"/>
            <w:vMerge w:val="continue"/>
            <w:vAlign w:val="center"/>
          </w:tcPr>
          <w:p>
            <w:pPr>
              <w:spacing w:line="240" w:lineRule="exact"/>
              <w:jc w:val="center"/>
              <w:rPr>
                <w:rFonts w:hint="eastAsia"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大学英语（</w:t>
            </w:r>
            <w:r>
              <w:rPr>
                <w:rFonts w:hint="eastAsia" w:ascii="宋体" w:hAnsi="宋体" w:cs="宋体"/>
                <w:color w:val="auto"/>
                <w:sz w:val="15"/>
                <w:szCs w:val="15"/>
                <w:highlight w:val="none"/>
                <w:lang w:eastAsia="zh-CN"/>
              </w:rPr>
              <w:t>中</w:t>
            </w:r>
            <w:r>
              <w:rPr>
                <w:rFonts w:hint="eastAsia" w:ascii="宋体" w:hAnsi="宋体" w:cs="宋体"/>
                <w:color w:val="auto"/>
                <w:sz w:val="15"/>
                <w:szCs w:val="15"/>
                <w:highlight w:val="none"/>
              </w:rPr>
              <w:t>阶）</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15</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ind w:firstLine="450" w:firstLineChars="300"/>
              <w:rPr>
                <w:rFonts w:ascii="宋体" w:hAnsi="宋体" w:cs="宋体"/>
                <w:color w:val="auto"/>
                <w:sz w:val="15"/>
                <w:szCs w:val="15"/>
                <w:highlight w:val="none"/>
              </w:rPr>
            </w:pPr>
            <w:r>
              <w:rPr>
                <w:rFonts w:hint="eastAsia" w:ascii="宋体" w:hAnsi="宋体" w:cs="宋体"/>
                <w:color w:val="auto"/>
                <w:sz w:val="15"/>
                <w:szCs w:val="15"/>
                <w:highlight w:val="none"/>
              </w:rPr>
              <w:t>影视英语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16</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英语三级辅导</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17</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英语应用能力考级辅导（A级）</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18</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英语应用能力考级辅导（B级）</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19</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英语视听说（初级）</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20</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英语视听说（高级）</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b/>
                <w:bCs/>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b/>
                <w:bCs/>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21</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基础日语</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eastAsia="宋体" w:cs="宋体"/>
                <w:b/>
                <w:bCs/>
                <w:color w:val="auto"/>
                <w:sz w:val="15"/>
                <w:szCs w:val="15"/>
                <w:highlight w:val="none"/>
                <w:lang w:eastAsia="zh-CN"/>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b/>
                <w:bCs/>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b/>
                <w:bCs/>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22</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专升本英语（上）</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3</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48</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48</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23</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专升本英语（下）</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3</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48</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lang w:val="en-US" w:eastAsia="zh-CN"/>
              </w:rPr>
              <w:t>48</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口试+笔试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r>
              <w:rPr>
                <w:rFonts w:hint="eastAsia" w:ascii="宋体" w:hAnsi="宋体" w:cs="宋体"/>
                <w:b/>
                <w:bCs/>
                <w:color w:val="auto"/>
                <w:sz w:val="15"/>
                <w:szCs w:val="15"/>
                <w:highlight w:val="none"/>
              </w:rPr>
              <w:t>√</w:t>
            </w: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24</w:t>
            </w:r>
          </w:p>
        </w:tc>
        <w:tc>
          <w:tcPr>
            <w:tcW w:w="507" w:type="dxa"/>
            <w:vMerge w:val="restart"/>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综合类</w:t>
            </w: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视频剪辑技术</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r>
              <w:rPr>
                <w:rFonts w:hint="eastAsia" w:ascii="宋体" w:hAnsi="宋体" w:cs="宋体"/>
                <w:color w:val="auto"/>
                <w:sz w:val="15"/>
                <w:szCs w:val="15"/>
                <w:highlight w:val="none"/>
                <w:lang w:val="en-US" w:eastAsia="zh-CN"/>
              </w:rPr>
              <w:t>5</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图像处理技术</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26</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计算机应用基础</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上机考试</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27</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网页设计与制作（手机）</w:t>
            </w:r>
          </w:p>
        </w:tc>
        <w:tc>
          <w:tcPr>
            <w:tcW w:w="350"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28</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幸福课</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29</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书法</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w:t>
            </w:r>
            <w:r>
              <w:rPr>
                <w:rFonts w:hint="eastAsia" w:ascii="宋体" w:hAnsi="宋体" w:cs="宋体"/>
                <w:color w:val="auto"/>
                <w:sz w:val="15"/>
                <w:szCs w:val="15"/>
                <w:highlight w:val="none"/>
                <w:lang w:val="en-US" w:eastAsia="zh-CN"/>
              </w:rPr>
              <w:t>0</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lang w:val="en-US" w:eastAsia="zh-CN"/>
              </w:rPr>
              <w:t>艺术欣赏</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分组作业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eastAsia="zh-CN"/>
              </w:rPr>
            </w:pPr>
            <w:r>
              <w:rPr>
                <w:rFonts w:hint="eastAsia" w:ascii="宋体" w:hAnsi="宋体" w:cs="宋体"/>
                <w:color w:val="auto"/>
                <w:sz w:val="15"/>
                <w:szCs w:val="15"/>
                <w:highlight w:val="none"/>
                <w:lang w:val="en-US" w:eastAsia="zh-CN"/>
              </w:rPr>
              <w:t>31</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趣味逻辑</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563" w:type="dxa"/>
            <w:gridSpan w:val="2"/>
            <w:vAlign w:val="center"/>
          </w:tcPr>
          <w:p>
            <w:pPr>
              <w:spacing w:line="240" w:lineRule="exact"/>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32</w:t>
            </w:r>
          </w:p>
        </w:tc>
        <w:tc>
          <w:tcPr>
            <w:tcW w:w="507" w:type="dxa"/>
            <w:vMerge w:val="continue"/>
            <w:vAlign w:val="center"/>
          </w:tcPr>
          <w:p>
            <w:pPr>
              <w:spacing w:line="240" w:lineRule="exact"/>
              <w:jc w:val="center"/>
              <w:rPr>
                <w:rFonts w:ascii="宋体" w:hAnsi="宋体" w:cs="宋体"/>
                <w:color w:val="auto"/>
                <w:sz w:val="15"/>
                <w:szCs w:val="15"/>
                <w:highlight w:val="none"/>
              </w:rPr>
            </w:pPr>
          </w:p>
        </w:tc>
        <w:tc>
          <w:tcPr>
            <w:tcW w:w="1725" w:type="dxa"/>
            <w:vAlign w:val="center"/>
          </w:tcPr>
          <w:p>
            <w:pPr>
              <w:spacing w:line="240" w:lineRule="exact"/>
              <w:jc w:val="center"/>
              <w:rPr>
                <w:rFonts w:hint="eastAsia" w:ascii="宋体" w:hAnsi="宋体" w:cs="宋体"/>
                <w:color w:val="auto"/>
                <w:sz w:val="15"/>
                <w:szCs w:val="15"/>
                <w:highlight w:val="none"/>
              </w:rPr>
            </w:pPr>
            <w:r>
              <w:rPr>
                <w:rFonts w:hint="eastAsia" w:ascii="宋体" w:hAnsi="宋体" w:cs="宋体"/>
                <w:color w:val="auto"/>
                <w:sz w:val="15"/>
                <w:szCs w:val="15"/>
                <w:highlight w:val="none"/>
              </w:rPr>
              <w:t>实用心理学</w:t>
            </w:r>
          </w:p>
        </w:tc>
        <w:tc>
          <w:tcPr>
            <w:tcW w:w="350"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A</w:t>
            </w:r>
          </w:p>
        </w:tc>
        <w:tc>
          <w:tcPr>
            <w:tcW w:w="401"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2</w:t>
            </w:r>
          </w:p>
        </w:tc>
        <w:tc>
          <w:tcPr>
            <w:tcW w:w="477"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32</w:t>
            </w:r>
          </w:p>
        </w:tc>
        <w:tc>
          <w:tcPr>
            <w:tcW w:w="425" w:type="dxa"/>
            <w:vAlign w:val="center"/>
          </w:tcPr>
          <w:p>
            <w:pPr>
              <w:spacing w:line="240" w:lineRule="exact"/>
              <w:jc w:val="center"/>
              <w:rPr>
                <w:rFonts w:ascii="宋体" w:hAnsi="宋体" w:cs="宋体"/>
                <w:color w:val="auto"/>
                <w:sz w:val="15"/>
                <w:szCs w:val="15"/>
                <w:highlight w:val="none"/>
              </w:rPr>
            </w:pPr>
          </w:p>
        </w:tc>
        <w:tc>
          <w:tcPr>
            <w:tcW w:w="598"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大型作业</w:t>
            </w:r>
          </w:p>
        </w:tc>
        <w:tc>
          <w:tcPr>
            <w:tcW w:w="650" w:type="dxa"/>
            <w:vAlign w:val="center"/>
          </w:tcPr>
          <w:p>
            <w:pPr>
              <w:spacing w:line="240" w:lineRule="exact"/>
              <w:jc w:val="center"/>
              <w:rPr>
                <w:rFonts w:ascii="宋体" w:hAnsi="宋体" w:cs="宋体"/>
                <w:color w:val="auto"/>
                <w:sz w:val="15"/>
                <w:szCs w:val="15"/>
                <w:highlight w:val="none"/>
              </w:rPr>
            </w:pPr>
          </w:p>
        </w:tc>
        <w:tc>
          <w:tcPr>
            <w:tcW w:w="612"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663" w:type="dxa"/>
            <w:vAlign w:val="center"/>
          </w:tcPr>
          <w:p>
            <w:pPr>
              <w:spacing w:line="240" w:lineRule="exact"/>
              <w:jc w:val="center"/>
              <w:rPr>
                <w:rFonts w:ascii="宋体" w:hAnsi="宋体" w:cs="宋体"/>
                <w:color w:val="auto"/>
                <w:sz w:val="15"/>
                <w:szCs w:val="15"/>
                <w:highlight w:val="none"/>
              </w:rPr>
            </w:pPr>
            <w:r>
              <w:rPr>
                <w:rFonts w:hint="eastAsia" w:ascii="宋体" w:hAnsi="宋体" w:cs="宋体"/>
                <w:color w:val="auto"/>
                <w:sz w:val="15"/>
                <w:szCs w:val="15"/>
                <w:highlight w:val="none"/>
              </w:rPr>
              <w:t>√</w:t>
            </w:r>
          </w:p>
        </w:tc>
        <w:tc>
          <w:tcPr>
            <w:tcW w:w="587" w:type="dxa"/>
            <w:vAlign w:val="center"/>
          </w:tcPr>
          <w:p>
            <w:pPr>
              <w:spacing w:line="240" w:lineRule="exact"/>
              <w:jc w:val="center"/>
              <w:rPr>
                <w:rFonts w:ascii="宋体" w:hAnsi="宋体" w:cs="宋体"/>
                <w:color w:val="auto"/>
                <w:sz w:val="15"/>
                <w:szCs w:val="15"/>
                <w:highlight w:val="none"/>
              </w:rPr>
            </w:pPr>
          </w:p>
        </w:tc>
        <w:tc>
          <w:tcPr>
            <w:tcW w:w="638" w:type="dxa"/>
            <w:vAlign w:val="center"/>
          </w:tcPr>
          <w:p>
            <w:pPr>
              <w:spacing w:line="240" w:lineRule="exact"/>
              <w:jc w:val="center"/>
              <w:rPr>
                <w:rFonts w:ascii="宋体" w:hAnsi="宋体" w:cs="宋体"/>
                <w:color w:val="auto"/>
                <w:spacing w:val="-24"/>
                <w:sz w:val="15"/>
                <w:szCs w:val="15"/>
                <w:highlight w:val="none"/>
              </w:rPr>
            </w:pPr>
          </w:p>
        </w:tc>
        <w:tc>
          <w:tcPr>
            <w:tcW w:w="612" w:type="dxa"/>
            <w:vAlign w:val="center"/>
          </w:tcPr>
          <w:p>
            <w:pPr>
              <w:widowControl/>
              <w:spacing w:line="240" w:lineRule="exact"/>
              <w:jc w:val="center"/>
              <w:rPr>
                <w:rFonts w:ascii="宋体" w:hAnsi="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0" w:type="dxa"/>
            <w:vMerge w:val="continue"/>
            <w:vAlign w:val="center"/>
          </w:tcPr>
          <w:p>
            <w:pPr>
              <w:spacing w:line="240" w:lineRule="exact"/>
              <w:jc w:val="center"/>
              <w:rPr>
                <w:rFonts w:ascii="宋体" w:hAnsi="宋体" w:cs="宋体"/>
                <w:color w:val="auto"/>
                <w:sz w:val="15"/>
                <w:szCs w:val="15"/>
                <w:highlight w:val="none"/>
              </w:rPr>
            </w:pPr>
          </w:p>
        </w:tc>
        <w:tc>
          <w:tcPr>
            <w:tcW w:w="9220" w:type="dxa"/>
            <w:gridSpan w:val="16"/>
            <w:vAlign w:val="center"/>
          </w:tcPr>
          <w:p>
            <w:pPr>
              <w:widowControl/>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备注：1.综合素质任意选修课最低须修满8学分，不设体育和计算机应用基础的专业为10学分。（其中文史类、外语类最低2学分）</w:t>
            </w:r>
          </w:p>
          <w:p>
            <w:pPr>
              <w:widowControl/>
              <w:numPr>
                <w:ilvl w:val="0"/>
                <w:numId w:val="3"/>
              </w:numPr>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lang w:eastAsia="zh-CN"/>
              </w:rPr>
              <w:t>计算机应用基础</w:t>
            </w:r>
            <w:r>
              <w:rPr>
                <w:rFonts w:hint="eastAsia" w:ascii="宋体" w:hAnsi="宋体" w:cs="宋体"/>
                <w:color w:val="auto"/>
                <w:sz w:val="15"/>
                <w:szCs w:val="15"/>
                <w:highlight w:val="none"/>
              </w:rPr>
              <w:t>课程仅限美术系和影视技术系学生选择。</w:t>
            </w:r>
          </w:p>
          <w:p>
            <w:pPr>
              <w:widowControl/>
              <w:numPr>
                <w:ilvl w:val="0"/>
                <w:numId w:val="3"/>
              </w:numPr>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lang w:eastAsia="zh-CN"/>
              </w:rPr>
              <w:t>图像处理技术课程不包含多媒体和影视编导专业。</w:t>
            </w:r>
          </w:p>
          <w:p>
            <w:pPr>
              <w:widowControl/>
              <w:numPr>
                <w:ilvl w:val="0"/>
                <w:numId w:val="3"/>
              </w:numPr>
              <w:spacing w:line="240" w:lineRule="exact"/>
              <w:jc w:val="left"/>
              <w:rPr>
                <w:rFonts w:ascii="宋体" w:hAnsi="宋体" w:cs="宋体"/>
                <w:color w:val="auto"/>
                <w:sz w:val="15"/>
                <w:szCs w:val="15"/>
                <w:highlight w:val="none"/>
              </w:rPr>
            </w:pPr>
            <w:r>
              <w:rPr>
                <w:rFonts w:hint="eastAsia" w:ascii="宋体" w:hAnsi="宋体" w:cs="宋体"/>
                <w:color w:val="auto"/>
                <w:sz w:val="15"/>
                <w:szCs w:val="15"/>
                <w:highlight w:val="none"/>
              </w:rPr>
              <w:t>专升本语文和英语为选拔性提高类课程，需提前填写申请表，由任课教师评估和开课部门审核后确定选课名单。为保证课程的连贯性，专升本语文和英语（上）、（下）两门课程须一起选，原则上中途不得退课。</w:t>
            </w:r>
          </w:p>
        </w:tc>
      </w:tr>
    </w:tbl>
    <w:p>
      <w:pPr>
        <w:pStyle w:val="8"/>
        <w:spacing w:before="0" w:beforeAutospacing="0" w:after="0" w:afterAutospacing="0" w:line="440" w:lineRule="exact"/>
        <w:jc w:val="both"/>
        <w:rPr>
          <w:color w:val="auto"/>
          <w:sz w:val="32"/>
          <w:szCs w:val="32"/>
          <w:highlight w:val="none"/>
        </w:rPr>
        <w:sectPr>
          <w:pgSz w:w="11906" w:h="16838"/>
          <w:pgMar w:top="1134" w:right="1800" w:bottom="1134" w:left="1800" w:header="851" w:footer="567" w:gutter="0"/>
          <w:cols w:space="720" w:num="1"/>
          <w:docGrid w:type="lines" w:linePitch="318" w:charSpace="0"/>
        </w:sectPr>
      </w:pPr>
    </w:p>
    <w:p>
      <w:pPr>
        <w:rPr>
          <w:color w:val="auto"/>
          <w:highlight w:val="none"/>
        </w:rPr>
      </w:pP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655A57"/>
    <w:multiLevelType w:val="singleLevel"/>
    <w:tmpl w:val="0A655A57"/>
    <w:lvl w:ilvl="0" w:tentative="0">
      <w:start w:val="2"/>
      <w:numFmt w:val="decimal"/>
      <w:suff w:val="nothing"/>
      <w:lvlText w:val="%1、"/>
      <w:lvlJc w:val="left"/>
      <w:pPr>
        <w:ind w:left="450" w:firstLine="0"/>
      </w:pPr>
    </w:lvl>
  </w:abstractNum>
  <w:abstractNum w:abstractNumId="1">
    <w:nsid w:val="5ED9B3F8"/>
    <w:multiLevelType w:val="singleLevel"/>
    <w:tmpl w:val="5ED9B3F8"/>
    <w:lvl w:ilvl="0" w:tentative="0">
      <w:start w:val="1"/>
      <w:numFmt w:val="decimal"/>
      <w:suff w:val="nothing"/>
      <w:lvlText w:val="%1."/>
      <w:lvlJc w:val="left"/>
    </w:lvl>
  </w:abstractNum>
  <w:abstractNum w:abstractNumId="2">
    <w:nsid w:val="6E456CE9"/>
    <w:multiLevelType w:val="singleLevel"/>
    <w:tmpl w:val="6E456CE9"/>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107FC"/>
    <w:rsid w:val="00235441"/>
    <w:rsid w:val="003107FC"/>
    <w:rsid w:val="0035293B"/>
    <w:rsid w:val="0041735D"/>
    <w:rsid w:val="00543B21"/>
    <w:rsid w:val="00564D61"/>
    <w:rsid w:val="005E0F28"/>
    <w:rsid w:val="0061244D"/>
    <w:rsid w:val="00795473"/>
    <w:rsid w:val="00B65203"/>
    <w:rsid w:val="00C75E33"/>
    <w:rsid w:val="00E9250E"/>
    <w:rsid w:val="04F14714"/>
    <w:rsid w:val="051E16DC"/>
    <w:rsid w:val="08EF3762"/>
    <w:rsid w:val="0AB40AAD"/>
    <w:rsid w:val="1208025A"/>
    <w:rsid w:val="14217DF5"/>
    <w:rsid w:val="14E246C4"/>
    <w:rsid w:val="14E94BDA"/>
    <w:rsid w:val="180A4CFC"/>
    <w:rsid w:val="1A764C10"/>
    <w:rsid w:val="1DA679F0"/>
    <w:rsid w:val="1DB52808"/>
    <w:rsid w:val="2351308E"/>
    <w:rsid w:val="2673079B"/>
    <w:rsid w:val="2A6847FF"/>
    <w:rsid w:val="2DFC0956"/>
    <w:rsid w:val="323D7DCA"/>
    <w:rsid w:val="35D56DE4"/>
    <w:rsid w:val="3707525F"/>
    <w:rsid w:val="3A696D43"/>
    <w:rsid w:val="43523D34"/>
    <w:rsid w:val="467B11F6"/>
    <w:rsid w:val="478B413A"/>
    <w:rsid w:val="4D6732C8"/>
    <w:rsid w:val="4E6944D0"/>
    <w:rsid w:val="4E934751"/>
    <w:rsid w:val="4F3F7361"/>
    <w:rsid w:val="51761448"/>
    <w:rsid w:val="54A5608C"/>
    <w:rsid w:val="5B6759CD"/>
    <w:rsid w:val="5F0D3A17"/>
    <w:rsid w:val="61684009"/>
    <w:rsid w:val="61C11696"/>
    <w:rsid w:val="63481A1F"/>
    <w:rsid w:val="65234DB2"/>
    <w:rsid w:val="657E20D0"/>
    <w:rsid w:val="65BA1EBA"/>
    <w:rsid w:val="66E95776"/>
    <w:rsid w:val="68941ACB"/>
    <w:rsid w:val="6A6C3263"/>
    <w:rsid w:val="6C85327F"/>
    <w:rsid w:val="6E056BC3"/>
    <w:rsid w:val="70D41A0A"/>
    <w:rsid w:val="73322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9"/>
    <w:pPr>
      <w:keepNext/>
      <w:keepLines/>
      <w:spacing w:line="440" w:lineRule="exact"/>
      <w:jc w:val="center"/>
      <w:outlineLvl w:val="0"/>
    </w:pPr>
    <w:rPr>
      <w:rFonts w:ascii="黑体" w:hAnsi="黑体" w:eastAsia="黑体" w:cs="黑体"/>
      <w:bCs/>
      <w:sz w:val="32"/>
      <w:szCs w:val="32"/>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rFonts w:ascii="Cambria" w:hAnsi="Cambria"/>
      <w:b/>
      <w:bCs/>
      <w:kern w:val="28"/>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reader-word-layer"/>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621</Words>
  <Characters>3543</Characters>
  <Lines>29</Lines>
  <Paragraphs>8</Paragraphs>
  <TotalTime>53</TotalTime>
  <ScaleCrop>false</ScaleCrop>
  <LinksUpToDate>false</LinksUpToDate>
  <CharactersWithSpaces>4156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2012-12-31T16:41:00Z</dcterms:created>
  <dc:creator>Administrator</dc:creator>
  <cp:lastModifiedBy>荷兰豆</cp:lastModifiedBy>
  <cp:lastPrinted>2020-11-10T00:53:00Z</cp:lastPrinted>
  <dcterms:modified xsi:type="dcterms:W3CDTF">2021-06-27T04:51:52Z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174659B7EE91460C9ACBEC968EF15D13</vt:lpwstr>
  </property>
</Properties>
</file>